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650448" w:rsidRPr="005538B1" w:rsidRDefault="00371FC3">
      <w:pPr>
        <w:tabs>
          <w:tab w:val="center" w:pos="4536"/>
          <w:tab w:val="right" w:pos="9639"/>
        </w:tabs>
        <w:spacing w:beforeLines="0" w:after="120"/>
        <w:ind w:right="2"/>
        <w:rPr>
          <w:rFonts w:ascii="Arial" w:hAnsi="Arial" w:cs="Arial"/>
          <w:b/>
          <w:bCs/>
          <w:sz w:val="22"/>
          <w:szCs w:val="22"/>
        </w:rPr>
      </w:pPr>
      <w:r w:rsidRPr="005538B1">
        <w:rPr>
          <w:rFonts w:ascii="Arial" w:hAnsi="Arial" w:cs="Arial"/>
          <w:b/>
          <w:bCs/>
          <w:sz w:val="22"/>
          <w:szCs w:val="22"/>
        </w:rPr>
        <w:t xml:space="preserve">3GPP TSG RAN WG1 </w:t>
      </w:r>
      <w:r w:rsidRPr="005538B1">
        <w:rPr>
          <w:rFonts w:ascii="Arial" w:hAnsi="Arial" w:cs="Arial" w:hint="eastAsia"/>
          <w:b/>
          <w:bCs/>
          <w:sz w:val="22"/>
          <w:szCs w:val="22"/>
        </w:rPr>
        <w:t>#97</w:t>
      </w:r>
      <w:r w:rsidRPr="005538B1">
        <w:rPr>
          <w:rFonts w:ascii="Arial" w:hAnsi="Arial" w:cs="Arial"/>
          <w:b/>
          <w:bCs/>
          <w:sz w:val="22"/>
          <w:szCs w:val="22"/>
        </w:rPr>
        <w:tab/>
      </w:r>
      <w:r w:rsidRPr="005538B1">
        <w:rPr>
          <w:rFonts w:ascii="Arial" w:hAnsi="Arial" w:cs="Arial"/>
          <w:b/>
          <w:bCs/>
          <w:sz w:val="22"/>
          <w:szCs w:val="22"/>
        </w:rPr>
        <w:tab/>
      </w:r>
      <w:r w:rsidR="005538B1" w:rsidRPr="005538B1">
        <w:rPr>
          <w:rFonts w:ascii="Arial" w:hAnsi="Arial" w:cs="Arial"/>
          <w:b/>
          <w:bCs/>
          <w:sz w:val="22"/>
          <w:szCs w:val="22"/>
        </w:rPr>
        <w:t>R1-1906457</w:t>
      </w:r>
    </w:p>
    <w:p w:rsidR="00650448" w:rsidRDefault="00371FC3">
      <w:pPr>
        <w:tabs>
          <w:tab w:val="center" w:pos="4536"/>
          <w:tab w:val="right" w:pos="9639"/>
        </w:tabs>
        <w:spacing w:beforeLines="0" w:after="120"/>
        <w:ind w:right="2"/>
        <w:rPr>
          <w:rFonts w:ascii="Arial" w:eastAsia="MS Mincho" w:hAnsi="Arial" w:cs="Arial"/>
          <w:b/>
          <w:bCs/>
          <w:sz w:val="22"/>
          <w:szCs w:val="22"/>
          <w:lang w:eastAsia="ja-JP"/>
        </w:rPr>
      </w:pPr>
      <w:r>
        <w:rPr>
          <w:rFonts w:ascii="Arial" w:hAnsi="Arial" w:cs="Arial"/>
          <w:b/>
          <w:bCs/>
          <w:sz w:val="22"/>
          <w:szCs w:val="22"/>
        </w:rPr>
        <w:t>Reno</w:t>
      </w:r>
      <w:r>
        <w:rPr>
          <w:rFonts w:ascii="Arial" w:hAnsi="Arial" w:cs="Arial" w:hint="eastAsia"/>
          <w:b/>
          <w:bCs/>
          <w:sz w:val="22"/>
          <w:szCs w:val="22"/>
        </w:rPr>
        <w:t>,</w:t>
      </w:r>
      <w:r>
        <w:rPr>
          <w:rFonts w:ascii="Arial" w:hAnsi="Arial" w:cs="Arial"/>
          <w:b/>
          <w:bCs/>
          <w:sz w:val="22"/>
          <w:szCs w:val="22"/>
        </w:rPr>
        <w:t xml:space="preserve"> USA</w:t>
      </w:r>
      <w:r>
        <w:rPr>
          <w:rFonts w:ascii="Arial" w:hAnsi="Arial" w:cs="Arial" w:hint="eastAsia"/>
          <w:b/>
          <w:bCs/>
          <w:sz w:val="22"/>
          <w:szCs w:val="22"/>
        </w:rPr>
        <w:t>, 13</w:t>
      </w:r>
      <w:r>
        <w:rPr>
          <w:rFonts w:ascii="Arial" w:hAnsi="Arial" w:cs="Arial"/>
          <w:b/>
          <w:bCs/>
          <w:sz w:val="22"/>
          <w:szCs w:val="22"/>
          <w:vertAlign w:val="superscript"/>
          <w:lang w:eastAsia="ja-JP"/>
        </w:rPr>
        <w:t>th</w:t>
      </w:r>
      <w:r>
        <w:rPr>
          <w:rFonts w:ascii="Arial" w:hAnsi="Arial" w:cs="Arial"/>
          <w:b/>
          <w:bCs/>
          <w:sz w:val="22"/>
          <w:szCs w:val="22"/>
          <w:lang w:eastAsia="ja-JP"/>
        </w:rPr>
        <w:t xml:space="preserve"> – </w:t>
      </w:r>
      <w:r>
        <w:rPr>
          <w:rFonts w:ascii="Arial" w:hAnsi="Arial" w:cs="Arial" w:hint="eastAsia"/>
          <w:b/>
          <w:bCs/>
          <w:sz w:val="22"/>
          <w:szCs w:val="22"/>
        </w:rPr>
        <w:t>17</w:t>
      </w:r>
      <w:r>
        <w:rPr>
          <w:rFonts w:ascii="Arial" w:hAnsi="Arial" w:cs="Arial"/>
          <w:b/>
          <w:bCs/>
          <w:sz w:val="22"/>
          <w:szCs w:val="22"/>
          <w:vertAlign w:val="superscript"/>
          <w:lang w:eastAsia="ja-JP"/>
        </w:rPr>
        <w:t>th</w:t>
      </w:r>
      <w:r>
        <w:rPr>
          <w:rFonts w:ascii="Arial" w:hAnsi="Arial" w:cs="Arial"/>
          <w:b/>
          <w:bCs/>
          <w:sz w:val="22"/>
          <w:szCs w:val="22"/>
          <w:lang w:eastAsia="ja-JP"/>
        </w:rPr>
        <w:t xml:space="preserve"> </w:t>
      </w:r>
      <w:r>
        <w:rPr>
          <w:rFonts w:ascii="Arial" w:hAnsi="Arial" w:cs="Arial" w:hint="eastAsia"/>
          <w:b/>
          <w:bCs/>
          <w:sz w:val="22"/>
          <w:szCs w:val="22"/>
        </w:rPr>
        <w:t>May</w:t>
      </w:r>
      <w:r>
        <w:rPr>
          <w:rFonts w:ascii="Arial" w:eastAsia="MS Mincho" w:hAnsi="Arial" w:cs="Arial"/>
          <w:b/>
          <w:bCs/>
          <w:sz w:val="22"/>
          <w:szCs w:val="22"/>
          <w:lang w:eastAsia="ja-JP"/>
        </w:rPr>
        <w:t>, 2019</w:t>
      </w:r>
    </w:p>
    <w:p w:rsidR="00650448" w:rsidRDefault="00371FC3">
      <w:pPr>
        <w:tabs>
          <w:tab w:val="left" w:pos="1985"/>
        </w:tabs>
        <w:spacing w:beforeLines="100" w:before="240" w:after="120"/>
        <w:ind w:left="1987" w:hanging="1987"/>
        <w:rPr>
          <w:rFonts w:ascii="Arial" w:hAnsi="Arial"/>
          <w:b/>
          <w:sz w:val="22"/>
          <w:szCs w:val="22"/>
        </w:rPr>
      </w:pPr>
      <w:r>
        <w:rPr>
          <w:rFonts w:ascii="Arial" w:hAnsi="Arial"/>
          <w:b/>
          <w:sz w:val="22"/>
          <w:szCs w:val="22"/>
        </w:rPr>
        <w:t xml:space="preserve">Title: </w:t>
      </w:r>
      <w:r>
        <w:rPr>
          <w:rFonts w:ascii="Arial" w:hAnsi="Arial"/>
          <w:b/>
          <w:sz w:val="22"/>
          <w:szCs w:val="22"/>
        </w:rPr>
        <w:tab/>
      </w:r>
      <w:r>
        <w:rPr>
          <w:rFonts w:ascii="Arial" w:hAnsi="Arial" w:hint="eastAsia"/>
          <w:b/>
          <w:sz w:val="22"/>
          <w:szCs w:val="22"/>
        </w:rPr>
        <w:t xml:space="preserve">NR </w:t>
      </w:r>
      <w:r>
        <w:rPr>
          <w:rFonts w:ascii="Arial" w:hAnsi="Arial"/>
          <w:b/>
          <w:sz w:val="22"/>
          <w:szCs w:val="22"/>
        </w:rPr>
        <w:t>s</w:t>
      </w:r>
      <w:r>
        <w:rPr>
          <w:rFonts w:ascii="Arial" w:hAnsi="Arial" w:hint="eastAsia"/>
          <w:b/>
          <w:sz w:val="22"/>
          <w:szCs w:val="22"/>
        </w:rPr>
        <w:t xml:space="preserve">idelink </w:t>
      </w:r>
      <w:r>
        <w:rPr>
          <w:rFonts w:ascii="Arial" w:hAnsi="Arial"/>
          <w:b/>
          <w:sz w:val="22"/>
          <w:szCs w:val="22"/>
        </w:rPr>
        <w:t>p</w:t>
      </w:r>
      <w:r>
        <w:rPr>
          <w:rFonts w:ascii="Arial" w:hAnsi="Arial" w:hint="eastAsia"/>
          <w:b/>
          <w:sz w:val="22"/>
          <w:szCs w:val="22"/>
        </w:rPr>
        <w:t>hysical layer structure</w:t>
      </w:r>
    </w:p>
    <w:p w:rsidR="00650448" w:rsidRDefault="00371FC3">
      <w:pPr>
        <w:tabs>
          <w:tab w:val="left" w:pos="1985"/>
        </w:tabs>
        <w:spacing w:before="120" w:after="120"/>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t>ZTE, Sanechips</w:t>
      </w:r>
    </w:p>
    <w:p w:rsidR="00650448" w:rsidRDefault="00371FC3">
      <w:pPr>
        <w:tabs>
          <w:tab w:val="left" w:pos="1985"/>
        </w:tabs>
        <w:spacing w:before="120" w:after="120"/>
        <w:rPr>
          <w:b/>
          <w:sz w:val="22"/>
          <w:szCs w:val="22"/>
        </w:rPr>
      </w:pPr>
      <w:r>
        <w:rPr>
          <w:rFonts w:ascii="Arial" w:hAnsi="Arial"/>
          <w:b/>
          <w:sz w:val="22"/>
          <w:szCs w:val="22"/>
          <w:lang w:val="pt-BR"/>
        </w:rPr>
        <w:t>Agenda item:</w:t>
      </w:r>
      <w:r>
        <w:rPr>
          <w:rFonts w:ascii="Arial" w:hAnsi="Arial"/>
          <w:b/>
          <w:sz w:val="22"/>
          <w:szCs w:val="22"/>
          <w:lang w:val="pt-BR"/>
        </w:rPr>
        <w:tab/>
      </w:r>
      <w:r>
        <w:rPr>
          <w:rFonts w:ascii="Arial" w:hAnsi="Arial" w:hint="eastAsia"/>
          <w:b/>
          <w:sz w:val="22"/>
          <w:szCs w:val="22"/>
        </w:rPr>
        <w:t>7.2.4.1</w:t>
      </w:r>
    </w:p>
    <w:p w:rsidR="00650448" w:rsidRDefault="00371FC3">
      <w:pPr>
        <w:tabs>
          <w:tab w:val="left" w:pos="1985"/>
        </w:tabs>
        <w:spacing w:before="120" w:after="120"/>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decision</w:t>
      </w:r>
    </w:p>
    <w:p w:rsidR="00650448" w:rsidRDefault="00371FC3">
      <w:pPr>
        <w:pStyle w:val="Heading1"/>
        <w:spacing w:before="120" w:after="120"/>
        <w:ind w:left="0"/>
        <w:rPr>
          <w:rFonts w:eastAsia="SimSun"/>
        </w:rPr>
      </w:pPr>
      <w:r>
        <w:rPr>
          <w:rFonts w:eastAsia="SimSun" w:hint="eastAsia"/>
        </w:rPr>
        <w:t>Introduction</w:t>
      </w:r>
    </w:p>
    <w:p w:rsidR="00650448" w:rsidRDefault="00371FC3">
      <w:pPr>
        <w:spacing w:before="120" w:after="120"/>
      </w:pPr>
      <w:r>
        <w:rPr>
          <w:rFonts w:hint="eastAsia"/>
        </w:rPr>
        <w:t xml:space="preserve">According to NR V2X WID </w:t>
      </w:r>
      <w:r>
        <w:rPr>
          <w:rFonts w:hint="eastAsia"/>
        </w:rPr>
        <w:fldChar w:fldCharType="begin"/>
      </w:r>
      <w:r>
        <w:rPr>
          <w:rFonts w:hint="eastAsia"/>
        </w:rPr>
        <w:instrText xml:space="preserve"> REF _Ref31645 \n \h </w:instrText>
      </w:r>
      <w:r>
        <w:rPr>
          <w:rFonts w:hint="eastAsia"/>
        </w:rPr>
      </w:r>
      <w:r>
        <w:rPr>
          <w:rFonts w:hint="eastAsia"/>
        </w:rPr>
        <w:fldChar w:fldCharType="separate"/>
      </w:r>
      <w:r>
        <w:rPr>
          <w:rFonts w:hint="eastAsia"/>
        </w:rPr>
        <w:t>[1]</w:t>
      </w:r>
      <w:r>
        <w:rPr>
          <w:rFonts w:hint="eastAsia"/>
        </w:rPr>
        <w:fldChar w:fldCharType="end"/>
      </w:r>
      <w:r>
        <w:rPr>
          <w:rFonts w:hint="eastAsia"/>
        </w:rPr>
        <w:t>, to support NR sidelink communication, the details of physical layer structure</w:t>
      </w:r>
      <w:r>
        <w:rPr>
          <w:rFonts w:hint="eastAsia"/>
          <w:lang w:eastAsia="ko-KR"/>
        </w:rPr>
        <w:t xml:space="preserve"> </w:t>
      </w:r>
      <w:r>
        <w:rPr>
          <w:rFonts w:hint="eastAsia"/>
        </w:rPr>
        <w:t xml:space="preserve">should be discussed, including </w:t>
      </w:r>
      <w:r>
        <w:rPr>
          <w:rFonts w:hint="eastAsia"/>
          <w:lang w:eastAsia="ko-KR"/>
        </w:rPr>
        <w:t>sidelink signals, channels, bandwidth part and resource pools</w:t>
      </w:r>
      <w:r>
        <w:rPr>
          <w:rFonts w:hint="eastAsia"/>
        </w:rPr>
        <w:t xml:space="preserve">, etc. </w:t>
      </w:r>
    </w:p>
    <w:p w:rsidR="00650448" w:rsidRDefault="00371FC3">
      <w:pPr>
        <w:spacing w:before="120" w:after="120"/>
      </w:pPr>
      <w:r>
        <w:rPr>
          <w:rFonts w:hint="eastAsia"/>
        </w:rPr>
        <w:t xml:space="preserve">In RAN 1 #96bis meeting, some further agreements based on SI description are achieved as follow </w:t>
      </w:r>
      <w:r>
        <w:rPr>
          <w:rFonts w:hint="eastAsia"/>
        </w:rPr>
        <w:fldChar w:fldCharType="begin"/>
      </w:r>
      <w:r>
        <w:rPr>
          <w:rFonts w:hint="eastAsia"/>
        </w:rPr>
        <w:instrText xml:space="preserve"> REF _Ref937 \n \h </w:instrText>
      </w:r>
      <w:r>
        <w:rPr>
          <w:rFonts w:hint="eastAsia"/>
        </w:rPr>
      </w:r>
      <w:r>
        <w:rPr>
          <w:rFonts w:hint="eastAsia"/>
        </w:rPr>
        <w:fldChar w:fldCharType="separate"/>
      </w:r>
      <w:r>
        <w:rPr>
          <w:rFonts w:hint="eastAsia"/>
        </w:rPr>
        <w:t>[2]</w:t>
      </w:r>
      <w:r>
        <w:rPr>
          <w:rFonts w:hint="eastAsia"/>
        </w:rPr>
        <w:fldChar w:fldCharType="end"/>
      </w:r>
      <w:r>
        <w:rPr>
          <w:rFonts w:hint="eastAsia"/>
        </w:rPr>
        <w:t>:</w:t>
      </w:r>
    </w:p>
    <w:p w:rsidR="00650448" w:rsidRDefault="00371FC3">
      <w:pPr>
        <w:numPr>
          <w:ilvl w:val="0"/>
          <w:numId w:val="5"/>
        </w:numPr>
        <w:spacing w:before="120" w:after="120"/>
        <w:rPr>
          <w:i/>
          <w:iCs/>
        </w:rPr>
      </w:pPr>
      <w:r>
        <w:rPr>
          <w:i/>
          <w:iCs/>
        </w:rPr>
        <w:t>Polar code adopted for Rel-15 NR DCI is applied to PSCCH.</w:t>
      </w:r>
    </w:p>
    <w:p w:rsidR="00650448" w:rsidRDefault="00371FC3">
      <w:pPr>
        <w:numPr>
          <w:ilvl w:val="0"/>
          <w:numId w:val="5"/>
        </w:numPr>
        <w:spacing w:before="120" w:after="120"/>
        <w:rPr>
          <w:i/>
          <w:iCs/>
        </w:rPr>
      </w:pPr>
      <w:r>
        <w:rPr>
          <w:i/>
          <w:iCs/>
        </w:rPr>
        <w:t>LDPC codes used for Rel-15 NR DL-SCH is applied to a transport block delivered by PSSCH.</w:t>
      </w:r>
    </w:p>
    <w:p w:rsidR="00650448" w:rsidRDefault="00371FC3">
      <w:pPr>
        <w:numPr>
          <w:ilvl w:val="0"/>
          <w:numId w:val="6"/>
        </w:numPr>
        <w:spacing w:before="120" w:after="120"/>
        <w:rPr>
          <w:rFonts w:eastAsia="DengXian"/>
          <w:i/>
          <w:iCs/>
          <w:lang w:eastAsia="ko-KR"/>
        </w:rPr>
      </w:pPr>
      <w:r>
        <w:rPr>
          <w:rFonts w:eastAsia="DengXian"/>
          <w:i/>
          <w:iCs/>
          <w:lang w:eastAsia="ko-KR"/>
        </w:rPr>
        <w:t xml:space="preserve">QPSK is </w:t>
      </w:r>
      <w:r>
        <w:rPr>
          <w:i/>
          <w:iCs/>
          <w:lang w:eastAsia="ko-KR"/>
        </w:rPr>
        <w:t xml:space="preserve">used </w:t>
      </w:r>
      <w:r>
        <w:rPr>
          <w:rFonts w:eastAsia="DengXian"/>
          <w:i/>
          <w:iCs/>
          <w:lang w:eastAsia="ko-KR"/>
        </w:rPr>
        <w:t>for PSCCH.</w:t>
      </w:r>
    </w:p>
    <w:p w:rsidR="00650448" w:rsidRDefault="00371FC3">
      <w:pPr>
        <w:numPr>
          <w:ilvl w:val="0"/>
          <w:numId w:val="6"/>
        </w:numPr>
        <w:spacing w:before="120" w:after="120"/>
        <w:rPr>
          <w:i/>
          <w:iCs/>
        </w:rPr>
      </w:pPr>
      <w:r>
        <w:rPr>
          <w:i/>
          <w:iCs/>
        </w:rPr>
        <w:t>The starting symbol and the number of symbols for a PSCCH are assumed to be known to the receiving UE before decoding the PSCCH.</w:t>
      </w:r>
    </w:p>
    <w:p w:rsidR="00650448" w:rsidRDefault="00371FC3">
      <w:pPr>
        <w:pStyle w:val="Style1"/>
        <w:numPr>
          <w:ilvl w:val="0"/>
          <w:numId w:val="7"/>
        </w:numPr>
        <w:spacing w:before="120" w:after="120" w:afterAutospacing="0" w:line="360" w:lineRule="auto"/>
        <w:rPr>
          <w:i/>
          <w:iCs/>
          <w:lang w:eastAsia="ko-KR"/>
        </w:rPr>
      </w:pPr>
      <w:r>
        <w:rPr>
          <w:rFonts w:eastAsia="DengXian"/>
          <w:i/>
          <w:iCs/>
          <w:lang w:eastAsia="ko-KR"/>
        </w:rPr>
        <w:t xml:space="preserve">At least for transmission perspective of a UE in a carrier, at least TDM between PSCCH/PSSCH and PSFCH is allowed for </w:t>
      </w:r>
      <w:r>
        <w:rPr>
          <w:i/>
          <w:iCs/>
          <w:lang w:eastAsia="ko-KR"/>
        </w:rPr>
        <w:t>a PSFCH format for sidelink in a slot.</w:t>
      </w:r>
    </w:p>
    <w:p w:rsidR="00650448" w:rsidRDefault="00371FC3">
      <w:pPr>
        <w:pStyle w:val="Style1"/>
        <w:numPr>
          <w:ilvl w:val="1"/>
          <w:numId w:val="7"/>
        </w:numPr>
        <w:spacing w:before="120" w:after="120" w:afterAutospacing="0" w:line="360" w:lineRule="auto"/>
        <w:rPr>
          <w:i/>
          <w:iCs/>
          <w:lang w:eastAsia="ko-KR"/>
        </w:rPr>
      </w:pPr>
      <w:r>
        <w:rPr>
          <w:i/>
          <w:iCs/>
          <w:lang w:eastAsia="ko-KR"/>
        </w:rPr>
        <w:t>FFS the details of the corresponding PSFCH format</w:t>
      </w:r>
    </w:p>
    <w:p w:rsidR="00650448" w:rsidRDefault="00371FC3">
      <w:pPr>
        <w:pStyle w:val="Style1"/>
        <w:numPr>
          <w:ilvl w:val="1"/>
          <w:numId w:val="7"/>
        </w:numPr>
        <w:spacing w:before="120" w:after="120" w:afterAutospacing="0" w:line="360" w:lineRule="auto"/>
        <w:rPr>
          <w:i/>
          <w:iCs/>
          <w:lang w:eastAsia="ko-KR"/>
        </w:rPr>
      </w:pPr>
      <w:r>
        <w:rPr>
          <w:rFonts w:eastAsia="DengXian"/>
          <w:i/>
          <w:iCs/>
          <w:lang w:eastAsia="ko-KR"/>
        </w:rPr>
        <w:t>FFS whether it is also applicable from system/resource pool perspective or not</w:t>
      </w:r>
    </w:p>
    <w:p w:rsidR="00650448" w:rsidRDefault="00371FC3">
      <w:pPr>
        <w:pStyle w:val="ListParagraph"/>
        <w:numPr>
          <w:ilvl w:val="1"/>
          <w:numId w:val="7"/>
        </w:numPr>
        <w:spacing w:after="120" w:line="360" w:lineRule="auto"/>
        <w:rPr>
          <w:rFonts w:eastAsia="DengXian"/>
          <w:i/>
          <w:iCs/>
          <w:sz w:val="20"/>
          <w:szCs w:val="20"/>
          <w:lang w:eastAsia="ko-KR"/>
        </w:rPr>
      </w:pPr>
      <w:r>
        <w:rPr>
          <w:rFonts w:eastAsia="DengXian"/>
          <w:i/>
          <w:iCs/>
          <w:sz w:val="20"/>
          <w:szCs w:val="20"/>
          <w:lang w:eastAsia="ko-KR"/>
        </w:rPr>
        <w:t>i.e., in this case, there is no simultaneous transmission of PSCCH and PSFCH and there is no simultaneous transmission of PSSCH and PSFCH.</w:t>
      </w:r>
    </w:p>
    <w:p w:rsidR="00650448" w:rsidRDefault="00371FC3">
      <w:pPr>
        <w:pStyle w:val="Style1"/>
        <w:numPr>
          <w:ilvl w:val="1"/>
          <w:numId w:val="7"/>
        </w:numPr>
        <w:spacing w:before="120" w:after="120" w:afterAutospacing="0" w:line="360" w:lineRule="auto"/>
        <w:rPr>
          <w:i/>
          <w:iCs/>
          <w:lang w:eastAsia="ko-KR"/>
        </w:rPr>
      </w:pPr>
      <w:r>
        <w:rPr>
          <w:i/>
          <w:iCs/>
          <w:lang w:eastAsia="ko-KR"/>
        </w:rPr>
        <w:t xml:space="preserve">FFS FDM between </w:t>
      </w:r>
      <w:r>
        <w:rPr>
          <w:rFonts w:eastAsia="DengXian"/>
          <w:i/>
          <w:iCs/>
          <w:lang w:eastAsia="ko-KR"/>
        </w:rPr>
        <w:t xml:space="preserve">PSCCH/PSSCH and </w:t>
      </w:r>
      <w:r>
        <w:rPr>
          <w:i/>
          <w:iCs/>
          <w:lang w:eastAsia="ko-KR"/>
        </w:rPr>
        <w:t xml:space="preserve">a PSFCH format which uses last symbol(s) available for sidelink in a slot </w:t>
      </w:r>
    </w:p>
    <w:p w:rsidR="00650448" w:rsidRDefault="00371FC3">
      <w:pPr>
        <w:pStyle w:val="Style1"/>
        <w:numPr>
          <w:ilvl w:val="1"/>
          <w:numId w:val="7"/>
        </w:numPr>
        <w:spacing w:before="120" w:after="120" w:afterAutospacing="0" w:line="360" w:lineRule="auto"/>
        <w:rPr>
          <w:rFonts w:eastAsia="DengXian"/>
          <w:i/>
          <w:iCs/>
          <w:lang w:eastAsia="ko-KR"/>
        </w:rPr>
      </w:pPr>
      <w:r>
        <w:rPr>
          <w:i/>
          <w:iCs/>
          <w:lang w:eastAsia="ko-KR"/>
        </w:rPr>
        <w:t xml:space="preserve">FFS TDM/FDM between </w:t>
      </w:r>
      <w:r>
        <w:rPr>
          <w:rFonts w:eastAsia="DengXian"/>
          <w:i/>
          <w:iCs/>
          <w:lang w:eastAsia="ko-KR"/>
        </w:rPr>
        <w:t xml:space="preserve">PSCCH/PSSCH and </w:t>
      </w:r>
      <w:r>
        <w:rPr>
          <w:i/>
          <w:iCs/>
          <w:lang w:eastAsia="ko-KR"/>
        </w:rPr>
        <w:t>other PSFCH format(s), if supported, which is/are different from the PSFCH format which uses last symbol(s) available for sidelink in a slot</w:t>
      </w:r>
    </w:p>
    <w:p w:rsidR="00650448" w:rsidRDefault="00371FC3">
      <w:pPr>
        <w:pStyle w:val="Style1"/>
        <w:numPr>
          <w:ilvl w:val="0"/>
          <w:numId w:val="7"/>
        </w:numPr>
        <w:spacing w:before="120" w:after="120" w:afterAutospacing="0" w:line="360" w:lineRule="auto"/>
        <w:rPr>
          <w:i/>
          <w:iCs/>
          <w:lang w:eastAsia="ko-KR"/>
        </w:rPr>
      </w:pPr>
      <w:r>
        <w:rPr>
          <w:rFonts w:hint="eastAsia"/>
          <w:i/>
          <w:iCs/>
        </w:rPr>
        <w:t>It is supported</w:t>
      </w:r>
      <w:r>
        <w:rPr>
          <w:i/>
          <w:iCs/>
        </w:rPr>
        <w:t>,</w:t>
      </w:r>
      <w:r>
        <w:rPr>
          <w:rFonts w:hint="eastAsia"/>
          <w:i/>
          <w:iCs/>
        </w:rPr>
        <w:t xml:space="preserve"> </w:t>
      </w:r>
      <w:r>
        <w:rPr>
          <w:i/>
          <w:iCs/>
        </w:rPr>
        <w:t xml:space="preserve">in a resource pool, that within the slots associated with the resource pool, </w:t>
      </w:r>
      <w:r>
        <w:rPr>
          <w:rFonts w:hint="eastAsia"/>
          <w:i/>
          <w:iCs/>
        </w:rPr>
        <w:t xml:space="preserve">PSFCH resources </w:t>
      </w:r>
      <w:r>
        <w:rPr>
          <w:i/>
          <w:iCs/>
        </w:rPr>
        <w:t>can be (pre)configured periodically with a period of N slot(s)</w:t>
      </w:r>
    </w:p>
    <w:p w:rsidR="00650448" w:rsidRDefault="00371FC3">
      <w:pPr>
        <w:pStyle w:val="Style1"/>
        <w:numPr>
          <w:ilvl w:val="1"/>
          <w:numId w:val="7"/>
        </w:numPr>
        <w:spacing w:before="120" w:after="120" w:afterAutospacing="0" w:line="360" w:lineRule="auto"/>
        <w:rPr>
          <w:i/>
          <w:iCs/>
          <w:lang w:eastAsia="ko-KR"/>
        </w:rPr>
      </w:pPr>
      <w:r>
        <w:rPr>
          <w:i/>
          <w:iCs/>
        </w:rPr>
        <w:t>N is configurable, with the following values</w:t>
      </w:r>
    </w:p>
    <w:p w:rsidR="00650448" w:rsidRDefault="00371FC3">
      <w:pPr>
        <w:pStyle w:val="Style1"/>
        <w:numPr>
          <w:ilvl w:val="2"/>
          <w:numId w:val="7"/>
        </w:numPr>
        <w:spacing w:before="120" w:after="120" w:afterAutospacing="0" w:line="360" w:lineRule="auto"/>
        <w:rPr>
          <w:i/>
          <w:iCs/>
          <w:lang w:eastAsia="ko-KR"/>
        </w:rPr>
      </w:pPr>
      <w:r>
        <w:rPr>
          <w:i/>
          <w:iCs/>
        </w:rPr>
        <w:t>1</w:t>
      </w:r>
    </w:p>
    <w:p w:rsidR="00650448" w:rsidRDefault="00371FC3">
      <w:pPr>
        <w:pStyle w:val="Style1"/>
        <w:numPr>
          <w:ilvl w:val="2"/>
          <w:numId w:val="7"/>
        </w:numPr>
        <w:spacing w:before="120" w:after="120" w:afterAutospacing="0" w:line="360" w:lineRule="auto"/>
        <w:rPr>
          <w:i/>
          <w:iCs/>
        </w:rPr>
      </w:pPr>
      <w:r>
        <w:rPr>
          <w:i/>
          <w:iCs/>
        </w:rPr>
        <w:t>At least one more value &gt;1</w:t>
      </w:r>
    </w:p>
    <w:p w:rsidR="00650448" w:rsidRDefault="00371FC3">
      <w:pPr>
        <w:pStyle w:val="Style1"/>
        <w:numPr>
          <w:ilvl w:val="3"/>
          <w:numId w:val="7"/>
        </w:numPr>
        <w:spacing w:before="120" w:after="120" w:afterAutospacing="0" w:line="360" w:lineRule="auto"/>
        <w:rPr>
          <w:i/>
          <w:iCs/>
        </w:rPr>
      </w:pPr>
      <w:r>
        <w:rPr>
          <w:i/>
          <w:iCs/>
        </w:rPr>
        <w:t>FFS details</w:t>
      </w:r>
    </w:p>
    <w:p w:rsidR="00650448" w:rsidRDefault="00371FC3">
      <w:pPr>
        <w:pStyle w:val="Style1"/>
        <w:numPr>
          <w:ilvl w:val="1"/>
          <w:numId w:val="7"/>
        </w:numPr>
        <w:spacing w:before="120" w:after="120" w:afterAutospacing="0" w:line="360" w:lineRule="auto"/>
        <w:rPr>
          <w:i/>
          <w:iCs/>
        </w:rPr>
      </w:pPr>
      <w:r>
        <w:rPr>
          <w:i/>
          <w:iCs/>
        </w:rPr>
        <w:t>The configuration should also include the possibility of no resource for PSFCH. In this case, HARQ feedback for all transmissions in the resource pool is disabled</w:t>
      </w:r>
    </w:p>
    <w:p w:rsidR="00650448" w:rsidRDefault="00371FC3">
      <w:pPr>
        <w:pStyle w:val="Style1"/>
        <w:numPr>
          <w:ilvl w:val="0"/>
          <w:numId w:val="7"/>
        </w:numPr>
        <w:spacing w:before="120" w:after="120" w:afterAutospacing="0" w:line="360" w:lineRule="auto"/>
        <w:rPr>
          <w:rFonts w:eastAsia="DengXian"/>
          <w:i/>
          <w:iCs/>
          <w:lang w:eastAsia="ko-KR"/>
        </w:rPr>
      </w:pPr>
      <w:r>
        <w:rPr>
          <w:rFonts w:hint="eastAsia"/>
          <w:i/>
          <w:iCs/>
        </w:rPr>
        <w:t>HARQ feedback for transmissions in a resource pool can only be sent on PSFCH in the same resource pool</w:t>
      </w:r>
    </w:p>
    <w:p w:rsidR="00650448" w:rsidRDefault="00371FC3">
      <w:pPr>
        <w:spacing w:before="120" w:after="120"/>
      </w:pPr>
      <w:r>
        <w:rPr>
          <w:rFonts w:hint="eastAsia"/>
        </w:rPr>
        <w:lastRenderedPageBreak/>
        <w:t xml:space="preserve">Besides above FFS items, several </w:t>
      </w:r>
      <w:r>
        <w:t xml:space="preserve">other </w:t>
      </w:r>
      <w:r>
        <w:rPr>
          <w:rFonts w:hint="eastAsia"/>
        </w:rPr>
        <w:t>issues should be discussed and determined for sidelink physical structure, including SL BWP, details of sidelink channels and resource pool configuration. In this contribution, further analyses and proposals are presented.</w:t>
      </w:r>
    </w:p>
    <w:p w:rsidR="00650448" w:rsidRDefault="00371FC3">
      <w:pPr>
        <w:pStyle w:val="Heading1"/>
        <w:spacing w:before="120" w:after="120"/>
        <w:ind w:left="0"/>
      </w:pPr>
      <w:r>
        <w:rPr>
          <w:rFonts w:hint="eastAsia"/>
        </w:rPr>
        <w:t>Discussion</w:t>
      </w:r>
      <w:r>
        <w:t>s</w:t>
      </w:r>
      <w:r>
        <w:rPr>
          <w:rFonts w:hint="eastAsia"/>
        </w:rPr>
        <w:t xml:space="preserve"> </w:t>
      </w:r>
    </w:p>
    <w:p w:rsidR="00650448" w:rsidRDefault="00371FC3">
      <w:pPr>
        <w:pStyle w:val="Heading2"/>
        <w:spacing w:before="120" w:after="120"/>
        <w:ind w:left="991" w:right="200" w:hangingChars="354" w:hanging="991"/>
        <w:rPr>
          <w:szCs w:val="22"/>
        </w:rPr>
      </w:pPr>
      <w:r>
        <w:rPr>
          <w:rFonts w:hint="eastAsia"/>
          <w:szCs w:val="22"/>
        </w:rPr>
        <w:t>SL BWP</w:t>
      </w:r>
    </w:p>
    <w:p w:rsidR="00650448" w:rsidRDefault="00371FC3">
      <w:pPr>
        <w:spacing w:before="120" w:after="120"/>
      </w:pPr>
      <w:r>
        <w:rPr>
          <w:rFonts w:hint="eastAsia"/>
        </w:rPr>
        <w:t xml:space="preserve">For NR sidelink communication, SL BWP is (pre-)configured per carrier. For in-coverage sidelink UE, UL BWP and SL BWP </w:t>
      </w:r>
      <w:r>
        <w:t>are separately configured</w:t>
      </w:r>
      <w:r>
        <w:rPr>
          <w:rFonts w:hint="eastAsia"/>
        </w:rPr>
        <w:t xml:space="preserve"> while the numerolog</w:t>
      </w:r>
      <w:r>
        <w:t>ies</w:t>
      </w:r>
      <w:r>
        <w:rPr>
          <w:rFonts w:hint="eastAsia"/>
        </w:rPr>
        <w:t xml:space="preserve"> of SL and active UL BWP should be the same.  </w:t>
      </w:r>
    </w:p>
    <w:p w:rsidR="00650448" w:rsidRDefault="00371FC3">
      <w:pPr>
        <w:spacing w:before="120" w:after="120"/>
      </w:pPr>
      <w:r>
        <w:t xml:space="preserve">As listed in </w:t>
      </w:r>
      <w:r>
        <w:fldChar w:fldCharType="begin"/>
      </w:r>
      <w:r>
        <w:instrText xml:space="preserve"> REF _Ref7092991 \h </w:instrText>
      </w:r>
      <w:r>
        <w:fldChar w:fldCharType="separate"/>
      </w:r>
      <w:r>
        <w:t>Table 1</w:t>
      </w:r>
      <w:r>
        <w:fldChar w:fldCharType="end"/>
      </w:r>
      <w:r>
        <w:rPr>
          <w:rFonts w:hint="eastAsia"/>
        </w:rPr>
        <w:t xml:space="preserve"> </w:t>
      </w:r>
      <w:r>
        <w:rPr>
          <w:rFonts w:hint="eastAsia"/>
        </w:rPr>
        <w:fldChar w:fldCharType="begin"/>
      </w:r>
      <w:r>
        <w:rPr>
          <w:rFonts w:hint="eastAsia"/>
        </w:rPr>
        <w:instrText xml:space="preserve"> REF _Ref1074 \n \h </w:instrText>
      </w:r>
      <w:r>
        <w:rPr>
          <w:rFonts w:hint="eastAsia"/>
        </w:rPr>
      </w:r>
      <w:r>
        <w:rPr>
          <w:rFonts w:hint="eastAsia"/>
        </w:rPr>
        <w:fldChar w:fldCharType="separate"/>
      </w:r>
      <w:r>
        <w:rPr>
          <w:rFonts w:hint="eastAsia"/>
        </w:rPr>
        <w:t>[3]</w:t>
      </w:r>
      <w:r>
        <w:rPr>
          <w:rFonts w:hint="eastAsia"/>
        </w:rPr>
        <w:fldChar w:fldCharType="end"/>
      </w:r>
      <w:r>
        <w:rPr>
          <w:rFonts w:hint="eastAsia"/>
        </w:rPr>
        <w:t xml:space="preserve">, a couple of slots may be </w:t>
      </w:r>
      <w:r>
        <w:t>consumed</w:t>
      </w:r>
      <w:r>
        <w:rPr>
          <w:rFonts w:hint="eastAsia"/>
        </w:rPr>
        <w:t xml:space="preserve"> as interruption time when </w:t>
      </w:r>
      <w:r>
        <w:t xml:space="preserve">UE </w:t>
      </w:r>
      <w:r>
        <w:rPr>
          <w:rFonts w:hint="eastAsia"/>
        </w:rPr>
        <w:t>switch</w:t>
      </w:r>
      <w:r>
        <w:t>es</w:t>
      </w:r>
      <w:r>
        <w:rPr>
          <w:rFonts w:hint="eastAsia"/>
        </w:rPr>
        <w:t xml:space="preserve"> from one active BWP to another </w:t>
      </w:r>
      <w:r>
        <w:t xml:space="preserve">if any of </w:t>
      </w:r>
      <w:r>
        <w:rPr>
          <w:rFonts w:hint="eastAsia"/>
        </w:rPr>
        <w:t>BWP configuration</w:t>
      </w:r>
      <w:r>
        <w:t xml:space="preserve"> such as</w:t>
      </w:r>
      <w:r>
        <w:rPr>
          <w:rFonts w:hint="eastAsia"/>
        </w:rPr>
        <w:t xml:space="preserve"> bandwidth, RB location and etc</w:t>
      </w:r>
      <w:r>
        <w:t>. is different between the two BWPs</w:t>
      </w:r>
      <w:r>
        <w:rPr>
          <w:rFonts w:hint="eastAsia"/>
        </w:rPr>
        <w:t xml:space="preserve">. </w:t>
      </w:r>
      <w:r>
        <w:t>Such interruption time, if existing,</w:t>
      </w:r>
      <w:r>
        <w:rPr>
          <w:rFonts w:hint="eastAsia"/>
        </w:rPr>
        <w:t xml:space="preserve"> should be reserved between Uu uplink transmission and sidelink transmission/reception. </w:t>
      </w:r>
    </w:p>
    <w:p w:rsidR="00650448" w:rsidRDefault="00371FC3">
      <w:pPr>
        <w:pStyle w:val="Caption"/>
        <w:jc w:val="center"/>
      </w:pPr>
      <w:bookmarkStart w:id="0" w:name="_Ref7092991"/>
      <w:r>
        <w:t xml:space="preserve">Table </w:t>
      </w:r>
      <w:fldSimple w:instr=" SEQ Table \* ARABIC ">
        <w:r w:rsidR="00081E01">
          <w:rPr>
            <w:noProof/>
          </w:rPr>
          <w:t>1</w:t>
        </w:r>
      </w:fldSimple>
      <w:bookmarkEnd w:id="0"/>
      <w:r>
        <w:rPr>
          <w:rFonts w:hint="eastAsia"/>
        </w:rPr>
        <w:t xml:space="preserve">  </w:t>
      </w:r>
      <w:r>
        <w:t>interruption length X</w:t>
      </w:r>
      <w:r>
        <w:rPr>
          <w:rFonts w:hint="eastAsia"/>
        </w:rPr>
        <w:t xml:space="preserve"> </w:t>
      </w:r>
      <w:r>
        <w:rPr>
          <w:rFonts w:hint="eastAsia"/>
        </w:rPr>
        <w:fldChar w:fldCharType="begin"/>
      </w:r>
      <w:r>
        <w:rPr>
          <w:rFonts w:hint="eastAsia"/>
        </w:rPr>
        <w:instrText xml:space="preserve"> REF _Ref1074 \n \h </w:instrText>
      </w:r>
      <w:r>
        <w:rPr>
          <w:rFonts w:hint="eastAsia"/>
        </w:rPr>
      </w:r>
      <w:r>
        <w:rPr>
          <w:rFonts w:hint="eastAsia"/>
        </w:rPr>
        <w:fldChar w:fldCharType="separate"/>
      </w:r>
      <w:r>
        <w:rPr>
          <w:rFonts w:hint="eastAsia"/>
        </w:rPr>
        <w:t>[3]</w:t>
      </w:r>
      <w:r>
        <w:rPr>
          <w:rFonts w:hint="eastAsia"/>
        </w:rPr>
        <w:fldChar w:fldCharType="end"/>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2"/>
        <w:gridCol w:w="3580"/>
        <w:gridCol w:w="5585"/>
      </w:tblGrid>
      <w:tr w:rsidR="00650448">
        <w:trPr>
          <w:cantSplit/>
          <w:trHeight w:val="327"/>
          <w:jc w:val="center"/>
        </w:trPr>
        <w:tc>
          <w:tcPr>
            <w:tcW w:w="692" w:type="dxa"/>
            <w:vMerge w:val="restart"/>
            <w:tcBorders>
              <w:top w:val="single" w:sz="4" w:space="0" w:color="auto"/>
              <w:left w:val="single" w:sz="4" w:space="0" w:color="auto"/>
              <w:bottom w:val="single" w:sz="4" w:space="0" w:color="auto"/>
              <w:right w:val="single" w:sz="4" w:space="0" w:color="auto"/>
            </w:tcBorders>
            <w:vAlign w:val="center"/>
          </w:tcPr>
          <w:p w:rsidR="00650448" w:rsidRDefault="00371FC3">
            <w:pPr>
              <w:pStyle w:val="TAH"/>
              <w:spacing w:beforeLines="0" w:before="60" w:afterLines="0" w:after="60"/>
            </w:pPr>
            <w:r>
              <w:rPr>
                <w:rFonts w:cs="Arial"/>
              </w:rPr>
              <w:t>µ</w:t>
            </w:r>
          </w:p>
        </w:tc>
        <w:tc>
          <w:tcPr>
            <w:tcW w:w="3580" w:type="dxa"/>
            <w:vMerge w:val="restart"/>
            <w:tcBorders>
              <w:top w:val="single" w:sz="4" w:space="0" w:color="auto"/>
              <w:left w:val="single" w:sz="4" w:space="0" w:color="auto"/>
              <w:bottom w:val="single" w:sz="4" w:space="0" w:color="auto"/>
              <w:right w:val="single" w:sz="4" w:space="0" w:color="auto"/>
            </w:tcBorders>
            <w:vAlign w:val="center"/>
          </w:tcPr>
          <w:p w:rsidR="00650448" w:rsidRDefault="00371FC3">
            <w:pPr>
              <w:pStyle w:val="TAH"/>
              <w:spacing w:beforeLines="0" w:before="60" w:afterLines="0" w:after="60"/>
            </w:pPr>
            <w:r>
              <w:t>NR Slot length (ms)</w:t>
            </w:r>
          </w:p>
        </w:tc>
        <w:tc>
          <w:tcPr>
            <w:tcW w:w="5585" w:type="dxa"/>
            <w:vMerge w:val="restart"/>
            <w:tcBorders>
              <w:top w:val="single" w:sz="4" w:space="0" w:color="auto"/>
              <w:left w:val="single" w:sz="4" w:space="0" w:color="auto"/>
              <w:bottom w:val="single" w:sz="4" w:space="0" w:color="auto"/>
              <w:right w:val="single" w:sz="4" w:space="0" w:color="auto"/>
            </w:tcBorders>
            <w:vAlign w:val="center"/>
          </w:tcPr>
          <w:p w:rsidR="00650448" w:rsidRDefault="00371FC3">
            <w:pPr>
              <w:pStyle w:val="TAH"/>
              <w:spacing w:beforeLines="0" w:before="60" w:afterLines="0" w:after="60"/>
            </w:pPr>
            <w:r>
              <w:t>Interruption length X (slots</w:t>
            </w:r>
            <w:r>
              <w:rPr>
                <w:vertAlign w:val="superscript"/>
              </w:rPr>
              <w:t>note 1</w:t>
            </w:r>
            <w:r>
              <w:t>)</w:t>
            </w:r>
          </w:p>
        </w:tc>
      </w:tr>
      <w:tr w:rsidR="00650448">
        <w:trPr>
          <w:cantSplit/>
          <w:trHeight w:val="387"/>
          <w:jc w:val="center"/>
        </w:trPr>
        <w:tc>
          <w:tcPr>
            <w:tcW w:w="692" w:type="dxa"/>
            <w:vMerge/>
            <w:tcBorders>
              <w:top w:val="single" w:sz="4" w:space="0" w:color="auto"/>
              <w:left w:val="single" w:sz="4" w:space="0" w:color="auto"/>
              <w:bottom w:val="single" w:sz="4" w:space="0" w:color="auto"/>
              <w:right w:val="single" w:sz="4" w:space="0" w:color="auto"/>
            </w:tcBorders>
            <w:vAlign w:val="center"/>
          </w:tcPr>
          <w:p w:rsidR="00650448" w:rsidRDefault="00650448">
            <w:pPr>
              <w:spacing w:beforeLines="0" w:before="60" w:afterLines="0" w:after="60"/>
              <w:rPr>
                <w:rFonts w:ascii="Arial" w:hAnsi="Arial"/>
                <w:b/>
                <w:sz w:val="18"/>
              </w:rPr>
            </w:pPr>
          </w:p>
        </w:tc>
        <w:tc>
          <w:tcPr>
            <w:tcW w:w="3580" w:type="dxa"/>
            <w:vMerge/>
            <w:tcBorders>
              <w:top w:val="single" w:sz="4" w:space="0" w:color="auto"/>
              <w:left w:val="single" w:sz="4" w:space="0" w:color="auto"/>
              <w:bottom w:val="single" w:sz="4" w:space="0" w:color="auto"/>
              <w:right w:val="single" w:sz="4" w:space="0" w:color="auto"/>
            </w:tcBorders>
            <w:vAlign w:val="center"/>
          </w:tcPr>
          <w:p w:rsidR="00650448" w:rsidRDefault="00650448">
            <w:pPr>
              <w:spacing w:beforeLines="0" w:before="60" w:afterLines="0" w:after="60"/>
              <w:rPr>
                <w:rFonts w:ascii="Arial" w:hAnsi="Arial"/>
                <w:b/>
                <w:sz w:val="18"/>
              </w:rPr>
            </w:pPr>
          </w:p>
        </w:tc>
        <w:tc>
          <w:tcPr>
            <w:tcW w:w="5585" w:type="dxa"/>
            <w:vMerge/>
            <w:tcBorders>
              <w:top w:val="single" w:sz="4" w:space="0" w:color="auto"/>
              <w:left w:val="single" w:sz="4" w:space="0" w:color="auto"/>
              <w:bottom w:val="single" w:sz="4" w:space="0" w:color="auto"/>
              <w:right w:val="single" w:sz="4" w:space="0" w:color="auto"/>
            </w:tcBorders>
            <w:vAlign w:val="center"/>
          </w:tcPr>
          <w:p w:rsidR="00650448" w:rsidRDefault="00650448">
            <w:pPr>
              <w:spacing w:beforeLines="0" w:before="60" w:afterLines="0" w:after="60"/>
              <w:rPr>
                <w:rFonts w:ascii="Arial" w:hAnsi="Arial"/>
                <w:b/>
                <w:sz w:val="18"/>
              </w:rPr>
            </w:pPr>
          </w:p>
        </w:tc>
      </w:tr>
      <w:tr w:rsidR="00650448">
        <w:trPr>
          <w:cantSplit/>
          <w:jc w:val="center"/>
        </w:trPr>
        <w:tc>
          <w:tcPr>
            <w:tcW w:w="692" w:type="dxa"/>
            <w:tcBorders>
              <w:top w:val="single" w:sz="4" w:space="0" w:color="auto"/>
              <w:left w:val="single" w:sz="4" w:space="0" w:color="auto"/>
              <w:bottom w:val="single" w:sz="4" w:space="0" w:color="auto"/>
              <w:right w:val="single" w:sz="4" w:space="0" w:color="auto"/>
            </w:tcBorders>
            <w:vAlign w:val="center"/>
          </w:tcPr>
          <w:p w:rsidR="00650448" w:rsidRDefault="00371FC3">
            <w:pPr>
              <w:pStyle w:val="TAC"/>
              <w:spacing w:beforeLines="0" w:before="60" w:afterLines="0" w:after="60"/>
            </w:pPr>
            <w:r>
              <w:t>0</w:t>
            </w:r>
          </w:p>
        </w:tc>
        <w:tc>
          <w:tcPr>
            <w:tcW w:w="3580" w:type="dxa"/>
            <w:tcBorders>
              <w:top w:val="single" w:sz="4" w:space="0" w:color="auto"/>
              <w:left w:val="single" w:sz="4" w:space="0" w:color="auto"/>
              <w:bottom w:val="single" w:sz="4" w:space="0" w:color="auto"/>
              <w:right w:val="single" w:sz="4" w:space="0" w:color="auto"/>
            </w:tcBorders>
            <w:vAlign w:val="center"/>
          </w:tcPr>
          <w:p w:rsidR="00650448" w:rsidRDefault="00371FC3">
            <w:pPr>
              <w:pStyle w:val="TAC"/>
              <w:spacing w:beforeLines="0" w:before="60" w:afterLines="0" w:after="60"/>
            </w:pPr>
            <w:r>
              <w:t>1</w:t>
            </w:r>
          </w:p>
        </w:tc>
        <w:tc>
          <w:tcPr>
            <w:tcW w:w="5585" w:type="dxa"/>
            <w:tcBorders>
              <w:top w:val="single" w:sz="4" w:space="0" w:color="auto"/>
              <w:left w:val="single" w:sz="4" w:space="0" w:color="auto"/>
              <w:bottom w:val="single" w:sz="4" w:space="0" w:color="auto"/>
              <w:right w:val="single" w:sz="4" w:space="0" w:color="auto"/>
            </w:tcBorders>
            <w:vAlign w:val="center"/>
          </w:tcPr>
          <w:p w:rsidR="00650448" w:rsidRDefault="00371FC3">
            <w:pPr>
              <w:pStyle w:val="TAC"/>
              <w:spacing w:beforeLines="0" w:before="60" w:afterLines="0" w:after="60"/>
            </w:pPr>
            <w:r>
              <w:t>1</w:t>
            </w:r>
          </w:p>
        </w:tc>
      </w:tr>
      <w:tr w:rsidR="00650448">
        <w:trPr>
          <w:cantSplit/>
          <w:jc w:val="center"/>
        </w:trPr>
        <w:tc>
          <w:tcPr>
            <w:tcW w:w="692" w:type="dxa"/>
            <w:tcBorders>
              <w:top w:val="single" w:sz="4" w:space="0" w:color="auto"/>
              <w:left w:val="single" w:sz="4" w:space="0" w:color="auto"/>
              <w:bottom w:val="single" w:sz="4" w:space="0" w:color="auto"/>
              <w:right w:val="single" w:sz="4" w:space="0" w:color="auto"/>
            </w:tcBorders>
            <w:vAlign w:val="center"/>
          </w:tcPr>
          <w:p w:rsidR="00650448" w:rsidRDefault="00371FC3">
            <w:pPr>
              <w:pStyle w:val="TAC"/>
              <w:spacing w:beforeLines="0" w:before="60" w:afterLines="0" w:after="60"/>
            </w:pPr>
            <w:r>
              <w:t>1</w:t>
            </w:r>
          </w:p>
        </w:tc>
        <w:tc>
          <w:tcPr>
            <w:tcW w:w="3580" w:type="dxa"/>
            <w:tcBorders>
              <w:top w:val="single" w:sz="4" w:space="0" w:color="auto"/>
              <w:left w:val="single" w:sz="4" w:space="0" w:color="auto"/>
              <w:bottom w:val="single" w:sz="4" w:space="0" w:color="auto"/>
              <w:right w:val="single" w:sz="4" w:space="0" w:color="auto"/>
            </w:tcBorders>
            <w:vAlign w:val="center"/>
          </w:tcPr>
          <w:p w:rsidR="00650448" w:rsidRDefault="00371FC3">
            <w:pPr>
              <w:pStyle w:val="TAC"/>
              <w:spacing w:beforeLines="0" w:before="60" w:afterLines="0" w:after="60"/>
            </w:pPr>
            <w:r>
              <w:t>0.5</w:t>
            </w:r>
          </w:p>
        </w:tc>
        <w:tc>
          <w:tcPr>
            <w:tcW w:w="5585" w:type="dxa"/>
            <w:tcBorders>
              <w:top w:val="single" w:sz="4" w:space="0" w:color="auto"/>
              <w:left w:val="single" w:sz="4" w:space="0" w:color="auto"/>
              <w:bottom w:val="single" w:sz="4" w:space="0" w:color="auto"/>
              <w:right w:val="single" w:sz="4" w:space="0" w:color="auto"/>
            </w:tcBorders>
            <w:vAlign w:val="center"/>
          </w:tcPr>
          <w:p w:rsidR="00650448" w:rsidRDefault="00371FC3">
            <w:pPr>
              <w:pStyle w:val="TAC"/>
              <w:spacing w:beforeLines="0" w:before="60" w:afterLines="0" w:after="60"/>
            </w:pPr>
            <w:r>
              <w:t>1</w:t>
            </w:r>
          </w:p>
        </w:tc>
      </w:tr>
      <w:tr w:rsidR="00650448">
        <w:trPr>
          <w:cantSplit/>
          <w:jc w:val="center"/>
        </w:trPr>
        <w:tc>
          <w:tcPr>
            <w:tcW w:w="692" w:type="dxa"/>
            <w:tcBorders>
              <w:top w:val="single" w:sz="4" w:space="0" w:color="auto"/>
              <w:left w:val="single" w:sz="4" w:space="0" w:color="auto"/>
              <w:bottom w:val="single" w:sz="4" w:space="0" w:color="auto"/>
              <w:right w:val="single" w:sz="4" w:space="0" w:color="auto"/>
            </w:tcBorders>
            <w:vAlign w:val="center"/>
          </w:tcPr>
          <w:p w:rsidR="00650448" w:rsidRDefault="00371FC3">
            <w:pPr>
              <w:pStyle w:val="TAC"/>
              <w:spacing w:beforeLines="0" w:before="60" w:afterLines="0" w:after="60"/>
            </w:pPr>
            <w:r>
              <w:t>2</w:t>
            </w:r>
          </w:p>
        </w:tc>
        <w:tc>
          <w:tcPr>
            <w:tcW w:w="3580" w:type="dxa"/>
            <w:tcBorders>
              <w:top w:val="single" w:sz="4" w:space="0" w:color="auto"/>
              <w:left w:val="single" w:sz="4" w:space="0" w:color="auto"/>
              <w:bottom w:val="single" w:sz="4" w:space="0" w:color="auto"/>
              <w:right w:val="single" w:sz="4" w:space="0" w:color="auto"/>
            </w:tcBorders>
            <w:vAlign w:val="center"/>
          </w:tcPr>
          <w:p w:rsidR="00650448" w:rsidRDefault="00371FC3">
            <w:pPr>
              <w:pStyle w:val="TAC"/>
              <w:spacing w:beforeLines="0" w:before="60" w:afterLines="0" w:after="60"/>
            </w:pPr>
            <w:r>
              <w:t>0.25</w:t>
            </w:r>
          </w:p>
        </w:tc>
        <w:tc>
          <w:tcPr>
            <w:tcW w:w="5585" w:type="dxa"/>
            <w:tcBorders>
              <w:top w:val="single" w:sz="4" w:space="0" w:color="auto"/>
              <w:left w:val="single" w:sz="4" w:space="0" w:color="auto"/>
              <w:bottom w:val="single" w:sz="4" w:space="0" w:color="auto"/>
              <w:right w:val="single" w:sz="4" w:space="0" w:color="auto"/>
            </w:tcBorders>
            <w:vAlign w:val="center"/>
          </w:tcPr>
          <w:p w:rsidR="00650448" w:rsidRDefault="00371FC3">
            <w:pPr>
              <w:pStyle w:val="TAC"/>
              <w:spacing w:beforeLines="0" w:before="60" w:afterLines="0" w:after="60"/>
            </w:pPr>
            <w:r>
              <w:t>3</w:t>
            </w:r>
          </w:p>
        </w:tc>
      </w:tr>
      <w:tr w:rsidR="00650448">
        <w:trPr>
          <w:cantSplit/>
          <w:jc w:val="center"/>
        </w:trPr>
        <w:tc>
          <w:tcPr>
            <w:tcW w:w="692" w:type="dxa"/>
            <w:tcBorders>
              <w:top w:val="single" w:sz="4" w:space="0" w:color="auto"/>
              <w:left w:val="single" w:sz="4" w:space="0" w:color="auto"/>
              <w:bottom w:val="single" w:sz="4" w:space="0" w:color="auto"/>
              <w:right w:val="single" w:sz="4" w:space="0" w:color="auto"/>
            </w:tcBorders>
            <w:vAlign w:val="center"/>
          </w:tcPr>
          <w:p w:rsidR="00650448" w:rsidRDefault="00371FC3">
            <w:pPr>
              <w:pStyle w:val="TAC"/>
              <w:spacing w:beforeLines="0" w:before="60" w:afterLines="0" w:after="60"/>
            </w:pPr>
            <w:r>
              <w:t>3</w:t>
            </w:r>
          </w:p>
        </w:tc>
        <w:tc>
          <w:tcPr>
            <w:tcW w:w="3580" w:type="dxa"/>
            <w:tcBorders>
              <w:top w:val="single" w:sz="4" w:space="0" w:color="auto"/>
              <w:left w:val="single" w:sz="4" w:space="0" w:color="auto"/>
              <w:bottom w:val="single" w:sz="4" w:space="0" w:color="auto"/>
              <w:right w:val="single" w:sz="4" w:space="0" w:color="auto"/>
            </w:tcBorders>
            <w:vAlign w:val="center"/>
          </w:tcPr>
          <w:p w:rsidR="00650448" w:rsidRDefault="00371FC3">
            <w:pPr>
              <w:pStyle w:val="TAC"/>
              <w:spacing w:beforeLines="0" w:before="60" w:afterLines="0" w:after="60"/>
            </w:pPr>
            <w:r>
              <w:t>0.125</w:t>
            </w:r>
          </w:p>
        </w:tc>
        <w:tc>
          <w:tcPr>
            <w:tcW w:w="5585" w:type="dxa"/>
            <w:tcBorders>
              <w:top w:val="single" w:sz="4" w:space="0" w:color="auto"/>
              <w:left w:val="single" w:sz="4" w:space="0" w:color="auto"/>
              <w:bottom w:val="single" w:sz="4" w:space="0" w:color="auto"/>
              <w:right w:val="single" w:sz="4" w:space="0" w:color="auto"/>
            </w:tcBorders>
            <w:vAlign w:val="center"/>
          </w:tcPr>
          <w:p w:rsidR="00650448" w:rsidRDefault="00371FC3">
            <w:pPr>
              <w:pStyle w:val="TAC"/>
              <w:spacing w:beforeLines="0" w:before="60" w:afterLines="0" w:after="60"/>
            </w:pPr>
            <w:r>
              <w:t>5</w:t>
            </w:r>
          </w:p>
        </w:tc>
      </w:tr>
      <w:tr w:rsidR="00650448">
        <w:trPr>
          <w:cantSplit/>
          <w:jc w:val="center"/>
        </w:trPr>
        <w:tc>
          <w:tcPr>
            <w:tcW w:w="9857" w:type="dxa"/>
            <w:gridSpan w:val="3"/>
            <w:tcBorders>
              <w:top w:val="single" w:sz="4" w:space="0" w:color="auto"/>
              <w:left w:val="single" w:sz="4" w:space="0" w:color="auto"/>
              <w:bottom w:val="single" w:sz="4" w:space="0" w:color="auto"/>
              <w:right w:val="single" w:sz="4" w:space="0" w:color="auto"/>
            </w:tcBorders>
            <w:vAlign w:val="center"/>
          </w:tcPr>
          <w:p w:rsidR="00650448" w:rsidRDefault="00371FC3">
            <w:pPr>
              <w:pStyle w:val="TAN"/>
              <w:spacing w:beforeLines="0" w:before="60" w:afterLines="0" w:after="60"/>
            </w:pPr>
            <w:r>
              <w:t>Note1:</w:t>
            </w:r>
            <w:r>
              <w:rPr>
                <w:sz w:val="28"/>
              </w:rPr>
              <w:tab/>
            </w:r>
            <w:r>
              <w:t xml:space="preserve">If the BWP switch involves changing of SCS, the interruption due to BWP switch is determined by the larger one between the SCS before BWP switch and the SCS after the BWP switch. </w:t>
            </w:r>
          </w:p>
        </w:tc>
      </w:tr>
    </w:tbl>
    <w:p w:rsidR="00650448" w:rsidRDefault="00371FC3">
      <w:pPr>
        <w:pStyle w:val="YJ-Observation"/>
        <w:spacing w:before="120" w:after="120"/>
        <w:rPr>
          <w:lang w:val="en-US" w:eastAsia="zh-CN"/>
        </w:rPr>
      </w:pPr>
      <w:bookmarkStart w:id="1" w:name="_Toc7752381"/>
      <w:r>
        <w:rPr>
          <w:lang w:val="en-US" w:eastAsia="zh-CN"/>
        </w:rPr>
        <w:t>Even with the</w:t>
      </w:r>
      <w:r>
        <w:rPr>
          <w:rFonts w:hint="eastAsia"/>
          <w:lang w:val="en-US" w:eastAsia="zh-CN"/>
        </w:rPr>
        <w:t xml:space="preserve"> same SCS in SL BWP and active Uu UL BWP, the switching interval between SL BWP and </w:t>
      </w:r>
      <w:r>
        <w:rPr>
          <w:lang w:val="en-US" w:eastAsia="zh-CN"/>
        </w:rPr>
        <w:t xml:space="preserve">active </w:t>
      </w:r>
      <w:r>
        <w:rPr>
          <w:rFonts w:hint="eastAsia"/>
          <w:lang w:val="en-US" w:eastAsia="zh-CN"/>
        </w:rPr>
        <w:t>Uu BWP can be too large to be ignored.</w:t>
      </w:r>
      <w:bookmarkEnd w:id="1"/>
      <w:r>
        <w:rPr>
          <w:rFonts w:hint="eastAsia"/>
          <w:lang w:val="en-US" w:eastAsia="zh-CN"/>
        </w:rPr>
        <w:t xml:space="preserve"> </w:t>
      </w:r>
    </w:p>
    <w:p w:rsidR="00650448" w:rsidRDefault="00371FC3">
      <w:pPr>
        <w:spacing w:before="120" w:after="120"/>
      </w:pPr>
      <w:r>
        <w:rPr>
          <w:rFonts w:hint="eastAsia"/>
        </w:rPr>
        <w:t xml:space="preserve">As in-coverage sidelink UE may switch between the UL transmission and sidelink transmission/reception frequently, the related switching interval may cause inevitable resource waste and increase the scheduling complexity. In order to avoid </w:t>
      </w:r>
      <w:r>
        <w:t xml:space="preserve">restrictions and resource waste </w:t>
      </w:r>
      <w:r>
        <w:rPr>
          <w:rFonts w:hint="eastAsia"/>
        </w:rPr>
        <w:t>switching</w:t>
      </w:r>
      <w:r>
        <w:t xml:space="preserve"> between Uu and SL</w:t>
      </w:r>
      <w:r>
        <w:rPr>
          <w:rFonts w:hint="eastAsia"/>
        </w:rPr>
        <w:t>, it is proposed to configure same location and bandwidth of SL BWP and UL BWP for a UE.</w:t>
      </w:r>
    </w:p>
    <w:p w:rsidR="00650448" w:rsidRDefault="00371FC3">
      <w:pPr>
        <w:pStyle w:val="YJ-Proposal"/>
        <w:spacing w:before="120" w:after="120"/>
        <w:rPr>
          <w:szCs w:val="22"/>
          <w:lang w:val="en-US" w:eastAsia="zh-CN"/>
        </w:rPr>
      </w:pPr>
      <w:bookmarkStart w:id="2" w:name="_Ref2712"/>
      <w:bookmarkStart w:id="3" w:name="_Toc7752384"/>
      <w:r>
        <w:rPr>
          <w:rFonts w:hint="eastAsia"/>
          <w:szCs w:val="22"/>
          <w:lang w:val="en-US" w:eastAsia="zh-CN"/>
        </w:rPr>
        <w:t>From UE</w:t>
      </w:r>
      <w:r>
        <w:rPr>
          <w:szCs w:val="22"/>
          <w:lang w:val="en-US" w:eastAsia="zh-CN"/>
        </w:rPr>
        <w:t>’</w:t>
      </w:r>
      <w:r>
        <w:rPr>
          <w:rFonts w:hint="eastAsia"/>
          <w:szCs w:val="22"/>
          <w:lang w:val="en-US" w:eastAsia="zh-CN"/>
        </w:rPr>
        <w:t>s perspective, the same location and bandwidth should be configured for SL BWP and Uu UL</w:t>
      </w:r>
      <w:bookmarkEnd w:id="2"/>
      <w:r>
        <w:rPr>
          <w:rFonts w:hint="eastAsia"/>
          <w:szCs w:val="22"/>
          <w:lang w:val="en-US" w:eastAsia="zh-CN"/>
        </w:rPr>
        <w:t xml:space="preserve"> BWP.</w:t>
      </w:r>
      <w:bookmarkEnd w:id="3"/>
    </w:p>
    <w:p w:rsidR="00650448" w:rsidRDefault="00371FC3">
      <w:pPr>
        <w:pStyle w:val="Heading2"/>
        <w:spacing w:before="120" w:after="120"/>
        <w:ind w:left="991" w:right="200" w:hangingChars="354" w:hanging="991"/>
      </w:pPr>
      <w:bookmarkStart w:id="4" w:name="_Ref9378"/>
      <w:r>
        <w:rPr>
          <w:rFonts w:hint="eastAsia"/>
          <w:szCs w:val="22"/>
        </w:rPr>
        <w:t xml:space="preserve">Resource </w:t>
      </w:r>
      <w:r>
        <w:rPr>
          <w:rFonts w:hint="eastAsia"/>
        </w:rPr>
        <w:t>pool</w:t>
      </w:r>
      <w:r>
        <w:t xml:space="preserve"> structure</w:t>
      </w:r>
      <w:r>
        <w:rPr>
          <w:rFonts w:hint="eastAsia"/>
        </w:rPr>
        <w:t xml:space="preserve">  </w:t>
      </w:r>
    </w:p>
    <w:p w:rsidR="00650448" w:rsidRDefault="00371FC3">
      <w:pPr>
        <w:pStyle w:val="Heading3"/>
        <w:spacing w:after="120"/>
        <w:ind w:right="200"/>
      </w:pPr>
      <w:r>
        <w:t>Symbol type for sidelink</w:t>
      </w:r>
      <w:r>
        <w:rPr>
          <w:rFonts w:hint="eastAsia"/>
        </w:rPr>
        <w:t xml:space="preserve"> </w:t>
      </w:r>
    </w:p>
    <w:p w:rsidR="00650448" w:rsidRDefault="00371FC3">
      <w:pPr>
        <w:spacing w:before="120" w:after="120"/>
      </w:pPr>
      <w:r>
        <w:t xml:space="preserve">NR defines D/F/U symbols types, where F refers to flexible symbol that can be redefined for use as DL or UL. Similar to LTE sidelink, NR V2X should not utilize the DL symbols in case the sidelink shares resources with Uu link, because doing such can inevitably generate the cross-link interference. In order to reuse LTE sidelink design logic as much as possible, NR should at least follow the way how LTE sidelink utilize Uu link resource, i.e., to assume the UL resources (symbols) are available to sidelink. The remaining question is whether the NR flexible symbol should also be available to sidelink. With the following reasoning, </w:t>
      </w:r>
    </w:p>
    <w:p w:rsidR="00650448" w:rsidRDefault="00371FC3">
      <w:pPr>
        <w:pStyle w:val="ListParagraph"/>
        <w:numPr>
          <w:ilvl w:val="0"/>
          <w:numId w:val="8"/>
        </w:numPr>
        <w:spacing w:before="120" w:after="120"/>
        <w:rPr>
          <w:sz w:val="20"/>
          <w:szCs w:val="20"/>
        </w:rPr>
      </w:pPr>
      <w:r>
        <w:rPr>
          <w:sz w:val="20"/>
          <w:szCs w:val="20"/>
        </w:rPr>
        <w:t xml:space="preserve">The reserved resource on Uu link, which can be naturally used by wireless links, comes in terms of flexible symbols. </w:t>
      </w:r>
    </w:p>
    <w:p w:rsidR="00650448" w:rsidRDefault="00371FC3">
      <w:pPr>
        <w:pStyle w:val="ListParagraph"/>
        <w:numPr>
          <w:ilvl w:val="0"/>
          <w:numId w:val="8"/>
        </w:numPr>
        <w:spacing w:before="120" w:after="120"/>
        <w:rPr>
          <w:sz w:val="20"/>
          <w:szCs w:val="20"/>
        </w:rPr>
      </w:pPr>
      <w:r>
        <w:rPr>
          <w:sz w:val="20"/>
          <w:szCs w:val="20"/>
        </w:rPr>
        <w:t>The set of {U, F} symbols gives sidelink the higher resource utilization and higher flexibility, comparing to set of “U” symbols only.</w:t>
      </w:r>
    </w:p>
    <w:p w:rsidR="00650448" w:rsidRDefault="00371FC3">
      <w:pPr>
        <w:pStyle w:val="ListParagraph"/>
        <w:numPr>
          <w:ilvl w:val="0"/>
          <w:numId w:val="8"/>
        </w:numPr>
        <w:spacing w:before="120" w:after="120"/>
        <w:rPr>
          <w:sz w:val="20"/>
          <w:szCs w:val="20"/>
        </w:rPr>
      </w:pPr>
      <w:r>
        <w:rPr>
          <w:sz w:val="20"/>
          <w:szCs w:val="20"/>
        </w:rPr>
        <w:t xml:space="preserve">Using {U} symbols for sidelink can be treated as a special case of using {U, F} symbols. Whether to include “F” symbols in scheduling may depend on whether the resource scheduler is sure about the usage privilege of symbol </w:t>
      </w:r>
      <w:r>
        <w:rPr>
          <w:sz w:val="20"/>
          <w:szCs w:val="20"/>
        </w:rPr>
        <w:lastRenderedPageBreak/>
        <w:t>“F” (e.g., not to be used by Uu link). Such privilege knowledge can be indicated to resource scheduler, e.g., by gNB configuration.</w:t>
      </w:r>
    </w:p>
    <w:p w:rsidR="00650448" w:rsidRDefault="00371FC3">
      <w:pPr>
        <w:spacing w:before="120" w:after="120"/>
        <w:rPr>
          <w:b/>
          <w:i/>
        </w:rPr>
      </w:pPr>
      <w:r>
        <w:t>We propose that</w:t>
      </w:r>
      <w:r>
        <w:rPr>
          <w:rFonts w:hint="eastAsia"/>
        </w:rPr>
        <w:t>:</w:t>
      </w:r>
    </w:p>
    <w:p w:rsidR="00650448" w:rsidRDefault="00371FC3">
      <w:pPr>
        <w:pStyle w:val="YJ-Proposal"/>
        <w:spacing w:before="120" w:after="120"/>
        <w:rPr>
          <w:lang w:val="en-US" w:eastAsia="zh-CN"/>
        </w:rPr>
      </w:pPr>
      <w:bookmarkStart w:id="5" w:name="_Ref2116"/>
      <w:bookmarkStart w:id="6" w:name="_Toc7752385"/>
      <w:r>
        <w:rPr>
          <w:lang w:val="en-US" w:eastAsia="zh-CN"/>
        </w:rPr>
        <w:t>The time resources for NR sidelink can be configured from both UL (U) symbols and flexible (F) symbols.</w:t>
      </w:r>
      <w:bookmarkEnd w:id="5"/>
      <w:bookmarkEnd w:id="6"/>
    </w:p>
    <w:p w:rsidR="00650448" w:rsidRDefault="00371FC3">
      <w:pPr>
        <w:pStyle w:val="Heading3"/>
        <w:spacing w:after="120"/>
        <w:ind w:right="200"/>
        <w:rPr>
          <w:szCs w:val="22"/>
        </w:rPr>
      </w:pPr>
      <w:r>
        <w:rPr>
          <w:rFonts w:hint="eastAsia"/>
          <w:szCs w:val="22"/>
        </w:rPr>
        <w:t xml:space="preserve">Subset of symbols in a slot  </w:t>
      </w:r>
    </w:p>
    <w:p w:rsidR="00650448" w:rsidRDefault="00371FC3">
      <w:pPr>
        <w:spacing w:before="120" w:after="120"/>
      </w:pPr>
      <w:r>
        <w:rPr>
          <w:rFonts w:hint="eastAsia"/>
        </w:rPr>
        <w:t xml:space="preserve">According to </w:t>
      </w:r>
      <w:r>
        <w:rPr>
          <w:rFonts w:hint="eastAsia"/>
        </w:rPr>
        <w:fldChar w:fldCharType="begin"/>
      </w:r>
      <w:r>
        <w:rPr>
          <w:rFonts w:hint="eastAsia"/>
        </w:rPr>
        <w:instrText xml:space="preserve"> REF _Ref1201 \n \h </w:instrText>
      </w:r>
      <w:r>
        <w:rPr>
          <w:rFonts w:hint="eastAsia"/>
        </w:rPr>
      </w:r>
      <w:r>
        <w:rPr>
          <w:rFonts w:hint="eastAsia"/>
        </w:rPr>
        <w:fldChar w:fldCharType="separate"/>
      </w:r>
      <w:r>
        <w:rPr>
          <w:rFonts w:hint="eastAsia"/>
        </w:rPr>
        <w:t>[4]</w:t>
      </w:r>
      <w:r>
        <w:rPr>
          <w:rFonts w:hint="eastAsia"/>
        </w:rPr>
        <w:fldChar w:fldCharType="end"/>
      </w:r>
      <w:r>
        <w:rPr>
          <w:rFonts w:hint="eastAsia"/>
        </w:rPr>
        <w:t xml:space="preserve">, </w:t>
      </w:r>
      <w:r>
        <w:t>all the symbols in a slot are available for SL and only a subset of consecutive symbols in a slot are available for SL</w:t>
      </w:r>
      <w:r>
        <w:rPr>
          <w:rFonts w:hint="eastAsia"/>
        </w:rPr>
        <w:t>. The subset of symbols are not dynamically indicated, i.e. it should be indicated as part of resource pool (pre-)configuration. While a subset consecutive symbols are assigned for SL, the available number of symbols in the subset and symbol position within a slot should be discussed.</w:t>
      </w:r>
    </w:p>
    <w:p w:rsidR="00650448" w:rsidRDefault="00371FC3">
      <w:pPr>
        <w:spacing w:before="120" w:after="120"/>
      </w:pPr>
      <w:r>
        <w:rPr>
          <w:rFonts w:hint="eastAsia"/>
        </w:rPr>
        <w:t>There are three location options of the sidelink symbol subset within a slot</w:t>
      </w:r>
      <w:r>
        <w:t>,</w:t>
      </w:r>
      <w:r>
        <w:rPr>
          <w:rFonts w:hint="eastAsia"/>
        </w:rPr>
        <w:t xml:space="preserve"> as shown in </w:t>
      </w:r>
      <w:r>
        <w:rPr>
          <w:rFonts w:hint="eastAsia"/>
        </w:rPr>
        <w:fldChar w:fldCharType="begin"/>
      </w:r>
      <w:r>
        <w:rPr>
          <w:rFonts w:hint="eastAsia"/>
        </w:rPr>
        <w:instrText xml:space="preserve"> REF _Ref7369 \h </w:instrText>
      </w:r>
      <w:r>
        <w:rPr>
          <w:rFonts w:hint="eastAsia"/>
        </w:rPr>
      </w:r>
      <w:r>
        <w:rPr>
          <w:rFonts w:hint="eastAsia"/>
        </w:rPr>
        <w:fldChar w:fldCharType="separate"/>
      </w:r>
      <w:r>
        <w:rPr>
          <w:bCs/>
        </w:rPr>
        <w:t>Figure 1</w:t>
      </w:r>
      <w:r>
        <w:rPr>
          <w:rFonts w:hint="eastAsia"/>
        </w:rPr>
        <w:fldChar w:fldCharType="end"/>
      </w:r>
      <w:r>
        <w:rPr>
          <w:rFonts w:hint="eastAsia"/>
        </w:rPr>
        <w:t xml:space="preserve">:   </w:t>
      </w:r>
    </w:p>
    <w:p w:rsidR="00650448" w:rsidRDefault="00371FC3">
      <w:pPr>
        <w:pStyle w:val="ListParagraph"/>
        <w:numPr>
          <w:ilvl w:val="0"/>
          <w:numId w:val="8"/>
        </w:numPr>
        <w:spacing w:before="120" w:after="120"/>
        <w:rPr>
          <w:sz w:val="20"/>
          <w:szCs w:val="20"/>
        </w:rPr>
      </w:pPr>
      <w:r>
        <w:rPr>
          <w:rFonts w:hint="eastAsia"/>
          <w:sz w:val="20"/>
          <w:szCs w:val="20"/>
        </w:rPr>
        <w:t xml:space="preserve">Option 1: sidelink symbols locate from the first symbol </w:t>
      </w:r>
      <w:r>
        <w:rPr>
          <w:sz w:val="20"/>
          <w:szCs w:val="20"/>
        </w:rPr>
        <w:t xml:space="preserve">(symbol </w:t>
      </w:r>
      <w:r>
        <w:rPr>
          <w:rFonts w:hint="eastAsia"/>
          <w:sz w:val="20"/>
          <w:szCs w:val="20"/>
        </w:rPr>
        <w:t>#0</w:t>
      </w:r>
      <w:r>
        <w:rPr>
          <w:sz w:val="20"/>
          <w:szCs w:val="20"/>
        </w:rPr>
        <w:t>)</w:t>
      </w:r>
      <w:r>
        <w:rPr>
          <w:rFonts w:hint="eastAsia"/>
          <w:sz w:val="20"/>
          <w:szCs w:val="20"/>
        </w:rPr>
        <w:t xml:space="preserve"> in a slot;</w:t>
      </w:r>
    </w:p>
    <w:p w:rsidR="00650448" w:rsidRDefault="00371FC3">
      <w:pPr>
        <w:pStyle w:val="ListParagraph"/>
        <w:numPr>
          <w:ilvl w:val="0"/>
          <w:numId w:val="8"/>
        </w:numPr>
        <w:spacing w:before="120" w:after="120"/>
        <w:rPr>
          <w:sz w:val="20"/>
          <w:szCs w:val="20"/>
        </w:rPr>
      </w:pPr>
      <w:r>
        <w:rPr>
          <w:rFonts w:hint="eastAsia"/>
          <w:sz w:val="20"/>
          <w:szCs w:val="20"/>
        </w:rPr>
        <w:t>Option 2: sidelink symbols locate from symbol #S within a slot,  S = {0,...,13}, S is configurable;</w:t>
      </w:r>
    </w:p>
    <w:p w:rsidR="00650448" w:rsidRDefault="00371FC3">
      <w:pPr>
        <w:pStyle w:val="ListParagraph"/>
        <w:numPr>
          <w:ilvl w:val="0"/>
          <w:numId w:val="8"/>
        </w:numPr>
        <w:spacing w:before="120" w:after="120"/>
        <w:rPr>
          <w:sz w:val="20"/>
          <w:szCs w:val="20"/>
        </w:rPr>
      </w:pPr>
      <w:r>
        <w:rPr>
          <w:rFonts w:hint="eastAsia"/>
          <w:sz w:val="20"/>
          <w:szCs w:val="20"/>
        </w:rPr>
        <w:t>Option 3: sidelink symbols locate to the end of a slot, i.e. the last sidelink symbol should be symbol #13;</w:t>
      </w:r>
    </w:p>
    <w:p w:rsidR="00650448" w:rsidRDefault="00371FC3">
      <w:pPr>
        <w:spacing w:before="120" w:after="120"/>
        <w:jc w:val="center"/>
      </w:pPr>
      <w:r>
        <w:rPr>
          <w:rFonts w:hint="eastAsia"/>
          <w:noProof/>
        </w:rPr>
        <w:drawing>
          <wp:inline distT="0" distB="0" distL="114300" distR="114300">
            <wp:extent cx="3345180" cy="1076960"/>
            <wp:effectExtent l="0" t="0" r="7620" b="8890"/>
            <wp:docPr id="17" name="图片 17" descr="symbol subs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symbol subset"/>
                    <pic:cNvPicPr>
                      <a:picLocks noChangeAspect="1"/>
                    </pic:cNvPicPr>
                  </pic:nvPicPr>
                  <pic:blipFill>
                    <a:blip r:embed="rId9"/>
                    <a:stretch>
                      <a:fillRect/>
                    </a:stretch>
                  </pic:blipFill>
                  <pic:spPr>
                    <a:xfrm>
                      <a:off x="0" y="0"/>
                      <a:ext cx="3345180" cy="1076960"/>
                    </a:xfrm>
                    <a:prstGeom prst="rect">
                      <a:avLst/>
                    </a:prstGeom>
                  </pic:spPr>
                </pic:pic>
              </a:graphicData>
            </a:graphic>
          </wp:inline>
        </w:drawing>
      </w:r>
    </w:p>
    <w:p w:rsidR="00650448" w:rsidRDefault="00371FC3">
      <w:pPr>
        <w:pStyle w:val="Caption"/>
        <w:jc w:val="center"/>
        <w:rPr>
          <w:b w:val="0"/>
          <w:bCs/>
        </w:rPr>
      </w:pPr>
      <w:bookmarkStart w:id="7" w:name="_Ref7369"/>
      <w:r>
        <w:rPr>
          <w:b w:val="0"/>
          <w:bCs/>
        </w:rPr>
        <w:t xml:space="preserve">Figure </w:t>
      </w:r>
      <w:r>
        <w:rPr>
          <w:b w:val="0"/>
          <w:bCs/>
        </w:rPr>
        <w:fldChar w:fldCharType="begin"/>
      </w:r>
      <w:r>
        <w:rPr>
          <w:b w:val="0"/>
          <w:bCs/>
        </w:rPr>
        <w:instrText xml:space="preserve"> SEQ Figure \* ARABIC </w:instrText>
      </w:r>
      <w:r>
        <w:rPr>
          <w:b w:val="0"/>
          <w:bCs/>
        </w:rPr>
        <w:fldChar w:fldCharType="separate"/>
      </w:r>
      <w:r>
        <w:rPr>
          <w:b w:val="0"/>
          <w:bCs/>
        </w:rPr>
        <w:t>1</w:t>
      </w:r>
      <w:r>
        <w:rPr>
          <w:b w:val="0"/>
          <w:bCs/>
        </w:rPr>
        <w:fldChar w:fldCharType="end"/>
      </w:r>
      <w:bookmarkEnd w:id="7"/>
      <w:r>
        <w:rPr>
          <w:rFonts w:hint="eastAsia"/>
          <w:b w:val="0"/>
          <w:bCs/>
        </w:rPr>
        <w:t xml:space="preserve"> Sidelink subset symbols location with a slot</w:t>
      </w:r>
    </w:p>
    <w:p w:rsidR="00650448" w:rsidRDefault="00371FC3">
      <w:pPr>
        <w:spacing w:before="120" w:after="120"/>
      </w:pPr>
      <w:r>
        <w:rPr>
          <w:rFonts w:hint="eastAsia"/>
        </w:rPr>
        <w:t xml:space="preserve">Option 1 sets a fixed starting symbol </w:t>
      </w:r>
      <w:r>
        <w:t>(i.e., the 1</w:t>
      </w:r>
      <w:r>
        <w:rPr>
          <w:vertAlign w:val="superscript"/>
        </w:rPr>
        <w:t>st</w:t>
      </w:r>
      <w:r>
        <w:t xml:space="preserve"> symbol per slot) </w:t>
      </w:r>
      <w:r>
        <w:rPr>
          <w:rFonts w:hint="eastAsia"/>
        </w:rPr>
        <w:t xml:space="preserve">of sidelink resource. It means that a slot with the beginning symbols indicated as </w:t>
      </w:r>
      <w:r>
        <w:t>“</w:t>
      </w:r>
      <w:r>
        <w:rPr>
          <w:rFonts w:hint="eastAsia"/>
        </w:rPr>
        <w:t>D</w:t>
      </w:r>
      <w:r>
        <w:t>”</w:t>
      </w:r>
      <w:r>
        <w:rPr>
          <w:rFonts w:hint="eastAsia"/>
        </w:rPr>
        <w:t xml:space="preserve"> on NR Uu cannot be used for sidelink even when it contains </w:t>
      </w:r>
      <w:r>
        <w:t>“</w:t>
      </w:r>
      <w:r>
        <w:rPr>
          <w:rFonts w:hint="eastAsia"/>
        </w:rPr>
        <w:t>F</w:t>
      </w:r>
      <w:r>
        <w:t>”</w:t>
      </w:r>
      <w:r>
        <w:rPr>
          <w:rFonts w:hint="eastAsia"/>
        </w:rPr>
        <w:t xml:space="preserve"> or </w:t>
      </w:r>
      <w:r>
        <w:t>“</w:t>
      </w:r>
      <w:r>
        <w:rPr>
          <w:rFonts w:hint="eastAsia"/>
        </w:rPr>
        <w:t>U</w:t>
      </w:r>
      <w:r>
        <w:t>”</w:t>
      </w:r>
      <w:r>
        <w:rPr>
          <w:rFonts w:hint="eastAsia"/>
        </w:rPr>
        <w:t xml:space="preserve"> symbols on the remaining symbols.  Obviously, it restricts </w:t>
      </w:r>
      <w:r>
        <w:t xml:space="preserve">the resource </w:t>
      </w:r>
      <w:r>
        <w:rPr>
          <w:rFonts w:hint="eastAsia"/>
        </w:rPr>
        <w:t>availability to sidelink.</w:t>
      </w:r>
    </w:p>
    <w:p w:rsidR="00650448" w:rsidRDefault="00371FC3">
      <w:pPr>
        <w:spacing w:before="120" w:after="120"/>
      </w:pPr>
      <w:r>
        <w:rPr>
          <w:rFonts w:hint="eastAsia"/>
        </w:rPr>
        <w:t xml:space="preserve">Option 2 provides more flexibility on sidelink resource allocation which can indicate arbitrary symbols within a slot </w:t>
      </w:r>
      <w:r>
        <w:t>for</w:t>
      </w:r>
      <w:r>
        <w:rPr>
          <w:rFonts w:hint="eastAsia"/>
        </w:rPr>
        <w:t xml:space="preserve"> sidelink resource.  Higher flexibility requires more complexity of resource management and scheduling and whether it is in need for sidelink resource allocation should be discussed further.</w:t>
      </w:r>
    </w:p>
    <w:p w:rsidR="00650448" w:rsidRDefault="00371FC3">
      <w:pPr>
        <w:spacing w:before="120" w:after="120"/>
      </w:pPr>
      <w:r>
        <w:rPr>
          <w:rFonts w:hint="eastAsia"/>
        </w:rPr>
        <w:t xml:space="preserve">Option 3 presents as an opposite scheme of option 1 while it locates the available sidelink symbols at the end of a slot. For the case that </w:t>
      </w:r>
      <w:r>
        <w:t>“</w:t>
      </w:r>
      <w:r>
        <w:rPr>
          <w:rFonts w:hint="eastAsia"/>
        </w:rPr>
        <w:t>F</w:t>
      </w:r>
      <w:r>
        <w:t>”</w:t>
      </w:r>
      <w:r>
        <w:rPr>
          <w:rFonts w:hint="eastAsia"/>
        </w:rPr>
        <w:t xml:space="preserve"> or </w:t>
      </w:r>
      <w:r>
        <w:t>“</w:t>
      </w:r>
      <w:r>
        <w:rPr>
          <w:rFonts w:hint="eastAsia"/>
        </w:rPr>
        <w:t>U</w:t>
      </w:r>
      <w:r>
        <w:t>”</w:t>
      </w:r>
      <w:r>
        <w:rPr>
          <w:rFonts w:hint="eastAsia"/>
        </w:rPr>
        <w:t xml:space="preserve"> symbols are configured at the end of a slot, sidelink resource can be multiplexed in this slot since </w:t>
      </w:r>
      <w:r>
        <w:t>“</w:t>
      </w:r>
      <w:r>
        <w:rPr>
          <w:rFonts w:hint="eastAsia"/>
        </w:rPr>
        <w:t>F</w:t>
      </w:r>
      <w:r>
        <w:t>”</w:t>
      </w:r>
      <w:r>
        <w:rPr>
          <w:rFonts w:hint="eastAsia"/>
        </w:rPr>
        <w:t xml:space="preserve"> or </w:t>
      </w:r>
      <w:r>
        <w:t>“</w:t>
      </w:r>
      <w:r>
        <w:rPr>
          <w:rFonts w:hint="eastAsia"/>
        </w:rPr>
        <w:t>U</w:t>
      </w:r>
      <w:r>
        <w:t>”</w:t>
      </w:r>
      <w:r>
        <w:rPr>
          <w:rFonts w:hint="eastAsia"/>
        </w:rPr>
        <w:t xml:space="preserve"> symbols can be used for sidelink.  As the last symbol of available sidelink resource should align with the end of a slot, only the number of the subset of symbols for sidelink needs to be indicated and it costs less indication overhead. </w:t>
      </w:r>
    </w:p>
    <w:p w:rsidR="00650448" w:rsidRDefault="00371FC3">
      <w:pPr>
        <w:spacing w:before="120" w:after="120"/>
      </w:pPr>
      <w:r>
        <w:rPr>
          <w:rFonts w:hint="eastAsia"/>
        </w:rPr>
        <w:t xml:space="preserve">Among the above options, option 2 and option 3 have no influence on sidelink and NR Uu resource multiplexing while option 1 cannot be used for the slot contains </w:t>
      </w:r>
      <w:r>
        <w:t>“</w:t>
      </w:r>
      <w:r>
        <w:rPr>
          <w:rFonts w:hint="eastAsia"/>
        </w:rPr>
        <w:t>D</w:t>
      </w:r>
      <w:r>
        <w:t>”</w:t>
      </w:r>
      <w:r>
        <w:rPr>
          <w:rFonts w:hint="eastAsia"/>
        </w:rPr>
        <w:t xml:space="preserve"> symbols at the beginning of a slot, so we propose: </w:t>
      </w:r>
    </w:p>
    <w:p w:rsidR="00650448" w:rsidRDefault="00371FC3">
      <w:pPr>
        <w:pStyle w:val="YJ-Proposal"/>
        <w:spacing w:before="120" w:after="120"/>
        <w:rPr>
          <w:lang w:val="en-US" w:eastAsia="zh-CN"/>
        </w:rPr>
      </w:pPr>
      <w:bookmarkStart w:id="8" w:name="_Ref2234"/>
      <w:bookmarkStart w:id="9" w:name="_Ref30235"/>
      <w:bookmarkStart w:id="10" w:name="_Toc7752386"/>
      <w:r>
        <w:rPr>
          <w:lang w:val="en-US" w:eastAsia="zh-CN"/>
        </w:rPr>
        <w:t>For the</w:t>
      </w:r>
      <w:r>
        <w:rPr>
          <w:rFonts w:hint="eastAsia"/>
          <w:lang w:val="en-US" w:eastAsia="zh-CN"/>
        </w:rPr>
        <w:t xml:space="preserve"> resource multiplexing between NR Uu and sidelink within a slot, the subset of symbols </w:t>
      </w:r>
      <w:r>
        <w:rPr>
          <w:lang w:val="en-US" w:eastAsia="zh-CN"/>
        </w:rPr>
        <w:t>for</w:t>
      </w:r>
      <w:r>
        <w:rPr>
          <w:rFonts w:hint="eastAsia"/>
          <w:lang w:val="en-US" w:eastAsia="zh-CN"/>
        </w:rPr>
        <w:t xml:space="preserve"> sidelink should not </w:t>
      </w:r>
      <w:bookmarkEnd w:id="8"/>
      <w:r>
        <w:rPr>
          <w:rFonts w:hint="eastAsia"/>
          <w:lang w:val="en-US" w:eastAsia="zh-CN"/>
        </w:rPr>
        <w:t>be assumed starting from the first symbol in a slot.</w:t>
      </w:r>
      <w:bookmarkEnd w:id="10"/>
      <w:r>
        <w:rPr>
          <w:rFonts w:hint="eastAsia"/>
          <w:lang w:val="en-US" w:eastAsia="zh-CN"/>
        </w:rPr>
        <w:t xml:space="preserve">  </w:t>
      </w:r>
      <w:bookmarkEnd w:id="9"/>
    </w:p>
    <w:p w:rsidR="00650448" w:rsidRDefault="00371FC3">
      <w:pPr>
        <w:pStyle w:val="Heading3"/>
        <w:spacing w:after="120"/>
        <w:ind w:right="200"/>
        <w:rPr>
          <w:szCs w:val="22"/>
        </w:rPr>
      </w:pPr>
      <w:r>
        <w:rPr>
          <w:rFonts w:hint="eastAsia"/>
          <w:szCs w:val="22"/>
        </w:rPr>
        <w:t xml:space="preserve">Frequency domain </w:t>
      </w:r>
      <w:r>
        <w:rPr>
          <w:szCs w:val="22"/>
        </w:rPr>
        <w:t>continuity</w:t>
      </w:r>
    </w:p>
    <w:p w:rsidR="00650448" w:rsidRDefault="00371FC3">
      <w:pPr>
        <w:numPr>
          <w:ilvl w:val="255"/>
          <w:numId w:val="0"/>
        </w:numPr>
        <w:spacing w:before="120" w:after="120"/>
        <w:rPr>
          <w:lang w:eastAsia="ko-KR"/>
        </w:rPr>
      </w:pPr>
      <w:r>
        <w:rPr>
          <w:rFonts w:hint="eastAsia"/>
        </w:rPr>
        <w:t xml:space="preserve">In SI stage, it is agreed </w:t>
      </w:r>
      <w:r>
        <w:t xml:space="preserve">to down select following two options </w:t>
      </w:r>
      <w:r>
        <w:rPr>
          <w:lang w:eastAsia="ko-KR"/>
        </w:rPr>
        <w:t>for the frequency domain</w:t>
      </w:r>
      <w:r>
        <w:rPr>
          <w:rFonts w:hint="eastAsia"/>
          <w:lang w:eastAsia="ko-KR"/>
        </w:rPr>
        <w:t xml:space="preserve"> resources of a resource pool </w:t>
      </w:r>
      <w:r>
        <w:rPr>
          <w:lang w:eastAsia="ko-KR"/>
        </w:rPr>
        <w:t xml:space="preserve">for </w:t>
      </w:r>
      <w:r>
        <w:rPr>
          <w:rFonts w:hint="eastAsia"/>
          <w:lang w:eastAsia="ko-KR"/>
        </w:rPr>
        <w:t>PSSCH</w:t>
      </w:r>
      <w:r>
        <w:rPr>
          <w:lang w:eastAsia="ko-KR"/>
        </w:rPr>
        <w:t xml:space="preserve">, </w:t>
      </w:r>
    </w:p>
    <w:p w:rsidR="00650448" w:rsidRDefault="00371FC3">
      <w:pPr>
        <w:pStyle w:val="ListParagraph"/>
        <w:numPr>
          <w:ilvl w:val="0"/>
          <w:numId w:val="8"/>
        </w:numPr>
        <w:spacing w:before="120" w:after="120"/>
        <w:rPr>
          <w:i/>
          <w:iCs/>
          <w:sz w:val="20"/>
          <w:szCs w:val="20"/>
          <w:lang w:eastAsia="ko-KR"/>
        </w:rPr>
      </w:pPr>
      <w:r>
        <w:rPr>
          <w:i/>
          <w:iCs/>
          <w:sz w:val="20"/>
          <w:szCs w:val="20"/>
          <w:lang w:eastAsia="ko-KR"/>
        </w:rPr>
        <w:t xml:space="preserve">Option 1: The resource pool always consists of contiguous </w:t>
      </w:r>
      <w:r>
        <w:rPr>
          <w:rFonts w:hint="eastAsia"/>
          <w:i/>
          <w:iCs/>
          <w:sz w:val="20"/>
          <w:szCs w:val="20"/>
          <w:lang w:eastAsia="ko-KR"/>
        </w:rPr>
        <w:t>P</w:t>
      </w:r>
      <w:r>
        <w:rPr>
          <w:i/>
          <w:iCs/>
          <w:sz w:val="20"/>
          <w:szCs w:val="20"/>
          <w:lang w:eastAsia="ko-KR"/>
        </w:rPr>
        <w:t>RBs</w:t>
      </w:r>
    </w:p>
    <w:p w:rsidR="00650448" w:rsidRDefault="00371FC3">
      <w:pPr>
        <w:pStyle w:val="ListParagraph"/>
        <w:numPr>
          <w:ilvl w:val="0"/>
          <w:numId w:val="8"/>
        </w:numPr>
        <w:spacing w:before="120" w:after="120"/>
        <w:rPr>
          <w:i/>
          <w:iCs/>
          <w:sz w:val="20"/>
          <w:szCs w:val="20"/>
          <w:lang w:eastAsia="ko-KR"/>
        </w:rPr>
      </w:pPr>
      <w:r>
        <w:rPr>
          <w:i/>
          <w:iCs/>
          <w:sz w:val="20"/>
          <w:szCs w:val="20"/>
          <w:lang w:eastAsia="ko-KR"/>
        </w:rPr>
        <w:t xml:space="preserve">Option 2: The resource pool can consist of non-contiguous </w:t>
      </w:r>
      <w:r>
        <w:rPr>
          <w:rFonts w:hint="eastAsia"/>
          <w:i/>
          <w:iCs/>
          <w:sz w:val="20"/>
          <w:szCs w:val="20"/>
          <w:lang w:eastAsia="ko-KR"/>
        </w:rPr>
        <w:t>P</w:t>
      </w:r>
      <w:r>
        <w:rPr>
          <w:i/>
          <w:iCs/>
          <w:sz w:val="20"/>
          <w:szCs w:val="20"/>
          <w:lang w:eastAsia="ko-KR"/>
        </w:rPr>
        <w:t>RBs</w:t>
      </w:r>
    </w:p>
    <w:p w:rsidR="00650448" w:rsidRDefault="00371FC3">
      <w:pPr>
        <w:spacing w:before="120" w:after="120"/>
      </w:pPr>
      <w:r>
        <w:rPr>
          <w:rFonts w:hint="eastAsia"/>
        </w:rPr>
        <w:t xml:space="preserve">As sub-channel based frequency resource allocation for PSSCH is supported, it is quite </w:t>
      </w:r>
      <w:r>
        <w:t>natural</w:t>
      </w:r>
      <w:r>
        <w:rPr>
          <w:rFonts w:hint="eastAsia"/>
        </w:rPr>
        <w:t xml:space="preserve"> to divide the contiguous PRBs contained in sidelink resource pool with option 1 into multiple sub-channels.  Based on the contiguous PRBs, it is also easy to determine the sub-channel indices which can be used as frequency resource indicator in SCI/DCI.</w:t>
      </w:r>
    </w:p>
    <w:p w:rsidR="00650448" w:rsidRDefault="00371FC3">
      <w:pPr>
        <w:spacing w:before="120" w:after="120"/>
      </w:pPr>
      <w:r>
        <w:lastRenderedPageBreak/>
        <w:t>W</w:t>
      </w:r>
      <w:r>
        <w:rPr>
          <w:rFonts w:hint="eastAsia"/>
        </w:rPr>
        <w:t xml:space="preserve">ith option 2, logical contiguous RBs and sub-channel indices should be introduced in order to hide away the physically non-contiguous </w:t>
      </w:r>
      <w:r>
        <w:t>PRBs</w:t>
      </w:r>
      <w:r>
        <w:rPr>
          <w:rFonts w:hint="eastAsia"/>
        </w:rPr>
        <w:t xml:space="preserve">.  </w:t>
      </w:r>
      <w:r>
        <w:t>M</w:t>
      </w:r>
      <w:r>
        <w:rPr>
          <w:rFonts w:hint="eastAsia"/>
        </w:rPr>
        <w:t xml:space="preserve">ore standard efforts are expected </w:t>
      </w:r>
      <w:r>
        <w:t xml:space="preserve">for option 2 but </w:t>
      </w:r>
      <w:r>
        <w:rPr>
          <w:rFonts w:hint="eastAsia"/>
        </w:rPr>
        <w:t>with no significant advantages</w:t>
      </w:r>
      <w:r>
        <w:t xml:space="preserve">. </w:t>
      </w:r>
    </w:p>
    <w:p w:rsidR="00650448" w:rsidRDefault="00371FC3">
      <w:pPr>
        <w:pStyle w:val="YJ-Proposal"/>
        <w:spacing w:before="120" w:after="120"/>
        <w:rPr>
          <w:lang w:val="en-US" w:eastAsia="zh-CN"/>
        </w:rPr>
      </w:pPr>
      <w:bookmarkStart w:id="11" w:name="_Ref2322"/>
      <w:bookmarkStart w:id="12" w:name="_Toc7752387"/>
      <w:r>
        <w:rPr>
          <w:rFonts w:hint="eastAsia"/>
          <w:lang w:val="en-US" w:eastAsia="zh-CN"/>
        </w:rPr>
        <w:t xml:space="preserve">The </w:t>
      </w:r>
      <w:r>
        <w:rPr>
          <w:rFonts w:hint="eastAsia"/>
          <w:szCs w:val="22"/>
          <w:lang w:val="en-US" w:eastAsia="zh-CN"/>
        </w:rPr>
        <w:t xml:space="preserve">frequency </w:t>
      </w:r>
      <w:r>
        <w:rPr>
          <w:rFonts w:hint="eastAsia"/>
          <w:lang w:val="en-US" w:eastAsia="zh-CN"/>
        </w:rPr>
        <w:t>domain resources of a resource pool always consist of contiguous PRBs.</w:t>
      </w:r>
      <w:bookmarkEnd w:id="11"/>
      <w:bookmarkEnd w:id="12"/>
    </w:p>
    <w:p w:rsidR="00650448" w:rsidRDefault="00371FC3">
      <w:pPr>
        <w:spacing w:before="120" w:after="120"/>
        <w:rPr>
          <w:b/>
          <w:i/>
        </w:rPr>
      </w:pPr>
      <w:r>
        <w:rPr>
          <w:rFonts w:hint="eastAsia"/>
        </w:rPr>
        <w:t>In legacy sidelink, a sub-channel size is configured per resource pool, i.e.</w:t>
      </w:r>
      <w:r>
        <w:t>,</w:t>
      </w:r>
      <w:r>
        <w:rPr>
          <w:rFonts w:hint="eastAsia"/>
        </w:rPr>
        <w:t xml:space="preserve"> all the sub-channels have the same number of RBs in frequency domain. When UE requires more resources for a larger data packet, several consecutive sub-channels should be used to carry the data.  This scheme provides sufficient flexibility for different sizes of data packets</w:t>
      </w:r>
      <w:r>
        <w:t>,</w:t>
      </w:r>
      <w:r>
        <w:rPr>
          <w:rFonts w:hint="eastAsia"/>
        </w:rPr>
        <w:t xml:space="preserve"> and </w:t>
      </w:r>
      <w:r>
        <w:t xml:space="preserve">it </w:t>
      </w:r>
      <w:r>
        <w:rPr>
          <w:rFonts w:hint="eastAsia"/>
        </w:rPr>
        <w:t>is easy to understand the sub-channel division in a resource pool. The same configuration of sub-channel for a resource pool should be reused for NR sidelink.</w:t>
      </w:r>
    </w:p>
    <w:p w:rsidR="00650448" w:rsidRDefault="00371FC3">
      <w:pPr>
        <w:pStyle w:val="YJ-Proposal"/>
        <w:spacing w:before="120" w:after="120"/>
        <w:rPr>
          <w:lang w:val="en-US" w:eastAsia="zh-CN"/>
        </w:rPr>
      </w:pPr>
      <w:bookmarkStart w:id="13" w:name="_Ref2358"/>
      <w:bookmarkStart w:id="14" w:name="_Toc7752388"/>
      <w:r>
        <w:rPr>
          <w:lang w:val="en-US" w:eastAsia="zh-CN"/>
        </w:rPr>
        <w:t>Within</w:t>
      </w:r>
      <w:r>
        <w:rPr>
          <w:rFonts w:hint="eastAsia"/>
          <w:lang w:val="en-US" w:eastAsia="zh-CN"/>
        </w:rPr>
        <w:t xml:space="preserve"> a </w:t>
      </w:r>
      <w:r>
        <w:rPr>
          <w:rFonts w:hint="eastAsia"/>
          <w:szCs w:val="22"/>
          <w:lang w:val="en-US" w:eastAsia="zh-CN"/>
        </w:rPr>
        <w:t xml:space="preserve">resource </w:t>
      </w:r>
      <w:r>
        <w:rPr>
          <w:rFonts w:hint="eastAsia"/>
          <w:lang w:val="en-US" w:eastAsia="zh-CN"/>
        </w:rPr>
        <w:t xml:space="preserve">pool, all sub-channels have </w:t>
      </w:r>
      <w:r>
        <w:rPr>
          <w:lang w:val="en-US" w:eastAsia="zh-CN"/>
        </w:rPr>
        <w:t xml:space="preserve">the </w:t>
      </w:r>
      <w:r>
        <w:rPr>
          <w:rFonts w:hint="eastAsia"/>
          <w:lang w:val="en-US" w:eastAsia="zh-CN"/>
        </w:rPr>
        <w:t xml:space="preserve">same size </w:t>
      </w:r>
      <w:r>
        <w:rPr>
          <w:lang w:val="en-US" w:eastAsia="zh-CN"/>
        </w:rPr>
        <w:t xml:space="preserve">(in terms of number of RBs). </w:t>
      </w:r>
      <w:r>
        <w:rPr>
          <w:rFonts w:hint="eastAsia"/>
          <w:lang w:val="en-US" w:eastAsia="zh-CN"/>
        </w:rPr>
        <w:t>The sub-channel size should be (pre-)configured</w:t>
      </w:r>
      <w:bookmarkEnd w:id="13"/>
      <w:r>
        <w:rPr>
          <w:rFonts w:hint="eastAsia"/>
          <w:lang w:val="en-US" w:eastAsia="zh-CN"/>
        </w:rPr>
        <w:t>.</w:t>
      </w:r>
      <w:bookmarkEnd w:id="14"/>
      <w:r>
        <w:rPr>
          <w:rFonts w:hint="eastAsia"/>
          <w:lang w:val="en-US" w:eastAsia="zh-CN"/>
        </w:rPr>
        <w:t xml:space="preserve">  </w:t>
      </w:r>
    </w:p>
    <w:p w:rsidR="00650448" w:rsidRDefault="00371FC3">
      <w:pPr>
        <w:pStyle w:val="Heading3"/>
        <w:spacing w:after="120"/>
        <w:ind w:right="200"/>
        <w:rPr>
          <w:szCs w:val="22"/>
        </w:rPr>
      </w:pPr>
      <w:r>
        <w:rPr>
          <w:rFonts w:hint="eastAsia"/>
          <w:szCs w:val="22"/>
        </w:rPr>
        <w:t>Slot aggregation</w:t>
      </w:r>
    </w:p>
    <w:p w:rsidR="00650448" w:rsidRDefault="00371FC3">
      <w:pPr>
        <w:spacing w:before="120" w:after="120"/>
      </w:pPr>
      <w:r>
        <w:rPr>
          <w:rFonts w:hint="eastAsia"/>
        </w:rPr>
        <w:t>For NR sidelink, several different numerologies are supported and larger sub-carrier spacing, such as 120kHz, leads to shorter symbol length. B</w:t>
      </w:r>
      <w:r>
        <w:t xml:space="preserve">ecause </w:t>
      </w:r>
      <w:r>
        <w:rPr>
          <w:rFonts w:hint="eastAsia"/>
        </w:rPr>
        <w:t xml:space="preserve">AGC training time and GP for Tx/Rx switching may cost one or more symbols, especially for larger SCS, it is proposed to </w:t>
      </w:r>
      <w:r>
        <w:t>support</w:t>
      </w:r>
      <w:r>
        <w:rPr>
          <w:rFonts w:hint="eastAsia"/>
        </w:rPr>
        <w:t xml:space="preserve"> slot aggregation for sidelink transmission. In details, it means using more than one slots as a PSCCH/PSSCH resource in time domain.</w:t>
      </w:r>
    </w:p>
    <w:p w:rsidR="00650448" w:rsidRDefault="00371FC3">
      <w:pPr>
        <w:spacing w:before="120" w:after="120"/>
      </w:pPr>
      <w:r>
        <w:rPr>
          <w:rFonts w:hint="eastAsia"/>
        </w:rPr>
        <w:t xml:space="preserve">From system perspective, it needs to clarify whether UEs have common understanding of the slot aggregation for PSCCH/PSSCH in the sidelink resource pool.  For instance, as shown in </w:t>
      </w:r>
      <w:r>
        <w:rPr>
          <w:rFonts w:hint="eastAsia"/>
        </w:rPr>
        <w:fldChar w:fldCharType="begin"/>
      </w:r>
      <w:r>
        <w:rPr>
          <w:rFonts w:hint="eastAsia"/>
        </w:rPr>
        <w:instrText xml:space="preserve"> REF _Ref2496 \h </w:instrText>
      </w:r>
      <w:r>
        <w:rPr>
          <w:rFonts w:hint="eastAsia"/>
        </w:rPr>
      </w:r>
      <w:r>
        <w:rPr>
          <w:rFonts w:hint="eastAsia"/>
        </w:rPr>
        <w:fldChar w:fldCharType="separate"/>
      </w:r>
      <w:r>
        <w:rPr>
          <w:bCs/>
        </w:rPr>
        <w:t>Figure 2</w:t>
      </w:r>
      <w:r>
        <w:rPr>
          <w:rFonts w:hint="eastAsia"/>
        </w:rPr>
        <w:fldChar w:fldCharType="end"/>
      </w:r>
      <w:r>
        <w:rPr>
          <w:rFonts w:hint="eastAsia"/>
        </w:rPr>
        <w:t>, when slot aggregation is performed as UE specific behavior, UE A using slot #n for its PSCCH/PSSCH while UE B using slot #n and #n+1 as one PSCCH/PSSCH resource, the different understanding of the slot structure may cause different operation on the last symbol of slot #n, i.e. UE A reserves the last symbol as GP while UE B sends data on the same symbol.  Then, it causes confusion for a receiving UE that the last symbol in slot #n should be noted as GP or not.  Further, receiving UE may suffer a power leaping on the symbol and be influenced to receive PSSCH on the aggregated slots.</w:t>
      </w:r>
    </w:p>
    <w:p w:rsidR="00650448" w:rsidRDefault="00371FC3">
      <w:pPr>
        <w:spacing w:before="120" w:after="120"/>
      </w:pPr>
      <w:r>
        <w:rPr>
          <w:rFonts w:hint="eastAsia"/>
        </w:rPr>
        <w:t>In order to avoid the confusion above, it is preferred to make sure that all UEs have the same understanding about the sidelink resource structure in a resource pool, including the slot aggregation level and relevant GP location, etc.  In other words, the slot aggregation for PSCCH/PSSCH should be (pre-)configured per sidelink resource pool.</w:t>
      </w:r>
    </w:p>
    <w:p w:rsidR="00650448" w:rsidRDefault="00371FC3">
      <w:pPr>
        <w:spacing w:before="120" w:after="120"/>
        <w:jc w:val="center"/>
      </w:pPr>
      <w:r>
        <w:rPr>
          <w:rFonts w:hint="eastAsia"/>
          <w:noProof/>
        </w:rPr>
        <w:drawing>
          <wp:inline distT="0" distB="0" distL="114300" distR="114300">
            <wp:extent cx="2473960" cy="2266315"/>
            <wp:effectExtent l="0" t="0" r="2540" b="635"/>
            <wp:docPr id="26" name="图片 26" descr="slot aggreg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descr="slot aggregation"/>
                    <pic:cNvPicPr>
                      <a:picLocks noChangeAspect="1"/>
                    </pic:cNvPicPr>
                  </pic:nvPicPr>
                  <pic:blipFill>
                    <a:blip r:embed="rId10"/>
                    <a:stretch>
                      <a:fillRect/>
                    </a:stretch>
                  </pic:blipFill>
                  <pic:spPr>
                    <a:xfrm>
                      <a:off x="0" y="0"/>
                      <a:ext cx="2473960" cy="2266315"/>
                    </a:xfrm>
                    <a:prstGeom prst="rect">
                      <a:avLst/>
                    </a:prstGeom>
                  </pic:spPr>
                </pic:pic>
              </a:graphicData>
            </a:graphic>
          </wp:inline>
        </w:drawing>
      </w:r>
    </w:p>
    <w:p w:rsidR="00650448" w:rsidRDefault="00371FC3">
      <w:pPr>
        <w:pStyle w:val="Caption"/>
        <w:jc w:val="center"/>
        <w:rPr>
          <w:b w:val="0"/>
          <w:bCs/>
        </w:rPr>
      </w:pPr>
      <w:bookmarkStart w:id="15" w:name="_Ref2496"/>
      <w:r>
        <w:rPr>
          <w:b w:val="0"/>
          <w:bCs/>
        </w:rPr>
        <w:t xml:space="preserve">Figure </w:t>
      </w:r>
      <w:r>
        <w:rPr>
          <w:b w:val="0"/>
          <w:bCs/>
        </w:rPr>
        <w:fldChar w:fldCharType="begin"/>
      </w:r>
      <w:r>
        <w:rPr>
          <w:b w:val="0"/>
          <w:bCs/>
        </w:rPr>
        <w:instrText xml:space="preserve"> SEQ Figure \* ARABIC </w:instrText>
      </w:r>
      <w:r>
        <w:rPr>
          <w:b w:val="0"/>
          <w:bCs/>
        </w:rPr>
        <w:fldChar w:fldCharType="separate"/>
      </w:r>
      <w:r>
        <w:rPr>
          <w:b w:val="0"/>
          <w:bCs/>
        </w:rPr>
        <w:t>2</w:t>
      </w:r>
      <w:r>
        <w:rPr>
          <w:b w:val="0"/>
          <w:bCs/>
        </w:rPr>
        <w:fldChar w:fldCharType="end"/>
      </w:r>
      <w:bookmarkEnd w:id="15"/>
      <w:r>
        <w:rPr>
          <w:rFonts w:hint="eastAsia"/>
          <w:b w:val="0"/>
          <w:bCs/>
        </w:rPr>
        <w:t xml:space="preserve"> UE specific slot aggregation </w:t>
      </w:r>
    </w:p>
    <w:p w:rsidR="00650448" w:rsidRDefault="00371FC3">
      <w:pPr>
        <w:pStyle w:val="YJ-Observation"/>
        <w:spacing w:before="120" w:after="120"/>
        <w:rPr>
          <w:lang w:val="en-US" w:eastAsia="zh-CN"/>
        </w:rPr>
      </w:pPr>
      <w:bookmarkStart w:id="16" w:name="_Toc7752382"/>
      <w:r>
        <w:rPr>
          <w:rFonts w:hint="eastAsia"/>
          <w:lang w:val="en-US" w:eastAsia="zh-CN"/>
        </w:rPr>
        <w:t>UEs should have common understanding of slot aggregation for PSCCH/PSSCH resources in a sidelink resource pool.</w:t>
      </w:r>
      <w:bookmarkEnd w:id="16"/>
    </w:p>
    <w:p w:rsidR="00650448" w:rsidRDefault="00371FC3">
      <w:pPr>
        <w:pStyle w:val="YJ-Proposal"/>
        <w:spacing w:before="120" w:after="120"/>
        <w:rPr>
          <w:lang w:val="en-US" w:eastAsia="zh-CN"/>
        </w:rPr>
      </w:pPr>
      <w:bookmarkStart w:id="17" w:name="_Toc7752389"/>
      <w:r>
        <w:rPr>
          <w:rFonts w:hint="eastAsia"/>
          <w:lang w:val="en-US" w:eastAsia="zh-CN"/>
        </w:rPr>
        <w:t>Slot aggregation for PSCCH/PSSCH should be (pre-)configured per resource pool.</w:t>
      </w:r>
      <w:bookmarkEnd w:id="17"/>
    </w:p>
    <w:p w:rsidR="00650448" w:rsidRDefault="00371FC3">
      <w:pPr>
        <w:pStyle w:val="Heading2"/>
        <w:spacing w:before="120" w:after="120"/>
        <w:ind w:left="991" w:right="200" w:hangingChars="354" w:hanging="991"/>
        <w:rPr>
          <w:szCs w:val="22"/>
        </w:rPr>
      </w:pPr>
      <w:r>
        <w:rPr>
          <w:rFonts w:hint="eastAsia"/>
          <w:szCs w:val="22"/>
        </w:rPr>
        <w:lastRenderedPageBreak/>
        <w:t>SL channel</w:t>
      </w:r>
      <w:bookmarkEnd w:id="4"/>
      <w:r>
        <w:rPr>
          <w:rFonts w:hint="eastAsia"/>
          <w:szCs w:val="22"/>
        </w:rPr>
        <w:t xml:space="preserve"> structure</w:t>
      </w:r>
    </w:p>
    <w:p w:rsidR="00650448" w:rsidRDefault="00371FC3">
      <w:pPr>
        <w:pStyle w:val="Heading3"/>
        <w:spacing w:after="120"/>
        <w:ind w:right="200"/>
      </w:pPr>
      <w:r>
        <w:rPr>
          <w:rFonts w:hint="eastAsia"/>
        </w:rPr>
        <w:t>PSCCH</w:t>
      </w:r>
    </w:p>
    <w:p w:rsidR="00650448" w:rsidRDefault="00371FC3">
      <w:pPr>
        <w:spacing w:before="120" w:after="120"/>
        <w:rPr>
          <w:szCs w:val="22"/>
        </w:rPr>
      </w:pPr>
      <w:r>
        <w:rPr>
          <w:rFonts w:hint="eastAsia"/>
        </w:rPr>
        <w:t xml:space="preserve">It is agreed in </w:t>
      </w:r>
      <w:r>
        <w:rPr>
          <w:rFonts w:hint="eastAsia"/>
          <w:szCs w:val="22"/>
        </w:rPr>
        <w:t xml:space="preserve">RAN 1 #96bis meeting that the starting symbol </w:t>
      </w:r>
      <w:r>
        <w:rPr>
          <w:szCs w:val="22"/>
        </w:rPr>
        <w:t>and the number of symbols for a PSCCH are assumed to be known to the receiving UE before decoding the PSCCH</w:t>
      </w:r>
      <w:r>
        <w:rPr>
          <w:rFonts w:hint="eastAsia"/>
          <w:szCs w:val="22"/>
        </w:rPr>
        <w:t xml:space="preserve">.  In other words, a PSCCH resource should be located on some certain resource in time and frequency domain with a known channel unit. </w:t>
      </w:r>
    </w:p>
    <w:p w:rsidR="00650448" w:rsidRDefault="00371FC3">
      <w:pPr>
        <w:spacing w:before="120" w:after="120"/>
      </w:pPr>
      <w:r>
        <w:rPr>
          <w:rFonts w:hint="eastAsia"/>
          <w:szCs w:val="22"/>
        </w:rPr>
        <w:t>Firstly, considering the channel unit of a PSCCH resource, t</w:t>
      </w:r>
      <w:r>
        <w:t>here are two options on defining resource unit for PSCCH:</w:t>
      </w:r>
      <w:r>
        <w:rPr>
          <w:rFonts w:hint="eastAsia"/>
        </w:rPr>
        <w:t xml:space="preserve"> </w:t>
      </w:r>
    </w:p>
    <w:p w:rsidR="00650448" w:rsidRDefault="00371FC3">
      <w:pPr>
        <w:pStyle w:val="ListParagraph"/>
        <w:numPr>
          <w:ilvl w:val="0"/>
          <w:numId w:val="8"/>
        </w:numPr>
        <w:spacing w:before="120" w:after="120"/>
        <w:rPr>
          <w:sz w:val="20"/>
          <w:szCs w:val="20"/>
        </w:rPr>
      </w:pPr>
      <w:r>
        <w:rPr>
          <w:rFonts w:hint="eastAsia"/>
          <w:sz w:val="20"/>
          <w:szCs w:val="20"/>
        </w:rPr>
        <w:t>Option 1:  Fixed resource unit of a PSCCH channel, i.e.</w:t>
      </w:r>
      <w:r>
        <w:rPr>
          <w:sz w:val="20"/>
          <w:szCs w:val="20"/>
        </w:rPr>
        <w:t>,</w:t>
      </w:r>
      <w:r>
        <w:rPr>
          <w:rFonts w:hint="eastAsia"/>
          <w:sz w:val="20"/>
          <w:szCs w:val="20"/>
        </w:rPr>
        <w:t xml:space="preserve"> one PSCCH channel contains </w:t>
      </w:r>
      <w:r>
        <w:rPr>
          <w:rFonts w:hint="eastAsia"/>
          <w:i/>
          <w:sz w:val="20"/>
          <w:szCs w:val="20"/>
        </w:rPr>
        <w:t>l</w:t>
      </w:r>
      <w:r>
        <w:rPr>
          <w:rFonts w:hint="eastAsia"/>
          <w:i/>
          <w:sz w:val="20"/>
          <w:szCs w:val="20"/>
          <w:vertAlign w:val="subscript"/>
        </w:rPr>
        <w:t>0</w:t>
      </w:r>
      <w:r>
        <w:rPr>
          <w:rFonts w:hint="eastAsia"/>
          <w:sz w:val="20"/>
          <w:szCs w:val="20"/>
        </w:rPr>
        <w:t xml:space="preserve"> symbols and </w:t>
      </w:r>
      <w:r>
        <w:rPr>
          <w:rFonts w:hint="eastAsia"/>
          <w:i/>
          <w:sz w:val="20"/>
          <w:szCs w:val="20"/>
        </w:rPr>
        <w:t>k</w:t>
      </w:r>
      <w:r>
        <w:rPr>
          <w:rFonts w:hint="eastAsia"/>
          <w:i/>
          <w:sz w:val="20"/>
          <w:szCs w:val="20"/>
          <w:vertAlign w:val="subscript"/>
        </w:rPr>
        <w:t>0</w:t>
      </w:r>
      <w:r>
        <w:rPr>
          <w:rFonts w:hint="eastAsia"/>
          <w:sz w:val="20"/>
          <w:szCs w:val="20"/>
        </w:rPr>
        <w:t xml:space="preserve"> RBs, where </w:t>
      </w:r>
      <w:r>
        <w:rPr>
          <w:rFonts w:hint="eastAsia"/>
          <w:i/>
          <w:sz w:val="20"/>
          <w:szCs w:val="20"/>
        </w:rPr>
        <w:t>l</w:t>
      </w:r>
      <w:r>
        <w:rPr>
          <w:rFonts w:hint="eastAsia"/>
          <w:i/>
          <w:sz w:val="20"/>
          <w:szCs w:val="20"/>
          <w:vertAlign w:val="subscript"/>
        </w:rPr>
        <w:t>0</w:t>
      </w:r>
      <w:r>
        <w:rPr>
          <w:rFonts w:hint="eastAsia"/>
          <w:sz w:val="20"/>
          <w:szCs w:val="20"/>
        </w:rPr>
        <w:t xml:space="preserve"> and </w:t>
      </w:r>
      <w:r>
        <w:rPr>
          <w:rFonts w:hint="eastAsia"/>
          <w:i/>
          <w:sz w:val="20"/>
          <w:szCs w:val="20"/>
        </w:rPr>
        <w:t>k</w:t>
      </w:r>
      <w:r>
        <w:rPr>
          <w:rFonts w:hint="eastAsia"/>
          <w:i/>
          <w:sz w:val="20"/>
          <w:szCs w:val="20"/>
          <w:vertAlign w:val="subscript"/>
        </w:rPr>
        <w:t>0</w:t>
      </w:r>
      <w:r>
        <w:rPr>
          <w:rFonts w:hint="eastAsia"/>
          <w:sz w:val="20"/>
          <w:szCs w:val="20"/>
        </w:rPr>
        <w:t xml:space="preserve"> </w:t>
      </w:r>
      <w:r>
        <w:rPr>
          <w:sz w:val="20"/>
          <w:szCs w:val="20"/>
        </w:rPr>
        <w:t xml:space="preserve">are fixed numbers. </w:t>
      </w:r>
    </w:p>
    <w:p w:rsidR="00650448" w:rsidRDefault="00371FC3">
      <w:pPr>
        <w:pStyle w:val="ListParagraph"/>
        <w:numPr>
          <w:ilvl w:val="0"/>
          <w:numId w:val="9"/>
        </w:numPr>
        <w:spacing w:before="120" w:after="120"/>
        <w:rPr>
          <w:sz w:val="20"/>
          <w:szCs w:val="20"/>
        </w:rPr>
      </w:pPr>
      <w:r>
        <w:rPr>
          <w:rFonts w:hint="eastAsia"/>
          <w:sz w:val="20"/>
          <w:szCs w:val="20"/>
        </w:rPr>
        <w:t xml:space="preserve">Option 2: </w:t>
      </w:r>
      <w:r>
        <w:rPr>
          <w:rFonts w:eastAsia="SimSun" w:hint="eastAsia"/>
          <w:sz w:val="20"/>
          <w:szCs w:val="20"/>
        </w:rPr>
        <w:t xml:space="preserve"> </w:t>
      </w:r>
      <w:r>
        <w:rPr>
          <w:rFonts w:hint="eastAsia"/>
          <w:sz w:val="20"/>
          <w:szCs w:val="20"/>
        </w:rPr>
        <w:t>A few potential values of the resource unit of a PSCCH channel, such as m</w:t>
      </w:r>
      <w:r>
        <w:rPr>
          <w:sz w:val="20"/>
          <w:szCs w:val="20"/>
        </w:rPr>
        <w:t>ultiple combinations</w:t>
      </w:r>
      <w:r>
        <w:rPr>
          <w:rFonts w:hint="eastAsia"/>
          <w:sz w:val="20"/>
          <w:szCs w:val="20"/>
        </w:rPr>
        <w:t xml:space="preserve"> of [</w:t>
      </w:r>
      <w:r>
        <w:rPr>
          <w:rFonts w:hint="eastAsia"/>
          <w:i/>
          <w:sz w:val="20"/>
          <w:szCs w:val="20"/>
        </w:rPr>
        <w:t>l, k</w:t>
      </w:r>
      <w:r>
        <w:rPr>
          <w:rFonts w:hint="eastAsia"/>
          <w:sz w:val="20"/>
          <w:szCs w:val="20"/>
        </w:rPr>
        <w:t xml:space="preserve">], each of which is specific to sidelink parameters, e.g., SCS. </w:t>
      </w:r>
    </w:p>
    <w:p w:rsidR="00650448" w:rsidRDefault="00371FC3">
      <w:pPr>
        <w:spacing w:before="120" w:after="120"/>
      </w:pPr>
      <w:r>
        <w:t xml:space="preserve">Obviously, option 1 is a simple way to provide a common processing for SCI detection for all cases. It is independent from the configuration of SCS, resource pool and the mode of multiplexing between PSCCH and PSSCH.  </w:t>
      </w:r>
      <w:r>
        <w:rPr>
          <w:rFonts w:hint="eastAsia"/>
        </w:rPr>
        <w:t xml:space="preserve">Despite </w:t>
      </w:r>
      <w:r>
        <w:t>the actual time length and frequency range of a PSCCH resource unit are various according to different SCS, the number of symbols and the number of RBs of a PSCCH resource are</w:t>
      </w:r>
      <w:r>
        <w:rPr>
          <w:rFonts w:hint="eastAsia"/>
        </w:rPr>
        <w:t xml:space="preserve"> fixed value</w:t>
      </w:r>
      <w:r>
        <w:t>s. Furthermore, based on [</w:t>
      </w:r>
      <w:r>
        <w:rPr>
          <w:i/>
          <w:iCs/>
        </w:rPr>
        <w:t>l</w:t>
      </w:r>
      <w:r>
        <w:rPr>
          <w:i/>
          <w:iCs/>
          <w:vertAlign w:val="subscript"/>
        </w:rPr>
        <w:t>0</w:t>
      </w:r>
      <w:r>
        <w:rPr>
          <w:i/>
          <w:iCs/>
        </w:rPr>
        <w:t>, k</w:t>
      </w:r>
      <w:r>
        <w:rPr>
          <w:i/>
          <w:iCs/>
          <w:vertAlign w:val="subscript"/>
        </w:rPr>
        <w:t>0</w:t>
      </w:r>
      <w:r>
        <w:t xml:space="preserve">] unit of each PSCCH channel, all the PSCCH resources can be easily divided and allocated within a resource pool.  </w:t>
      </w:r>
      <w:r>
        <w:rPr>
          <w:rFonts w:hint="eastAsia"/>
        </w:rPr>
        <w:t xml:space="preserve">Another issue needs to be considered for option 1 is the AGC timing which may be different in </w:t>
      </w:r>
      <w:r>
        <w:t>different</w:t>
      </w:r>
      <w:r>
        <w:rPr>
          <w:rFonts w:hint="eastAsia"/>
        </w:rPr>
        <w:t xml:space="preserve"> frequency ranges.  While the accurate AGC timing is still under RAN4 study, the value of </w:t>
      </w:r>
      <w:r>
        <w:rPr>
          <w:i/>
          <w:iCs/>
        </w:rPr>
        <w:t>l</w:t>
      </w:r>
      <w:r>
        <w:rPr>
          <w:i/>
          <w:iCs/>
          <w:vertAlign w:val="subscript"/>
        </w:rPr>
        <w:t>0</w:t>
      </w:r>
      <w:r>
        <w:rPr>
          <w:rFonts w:hint="eastAsia"/>
          <w:i/>
          <w:iCs/>
          <w:vertAlign w:val="subscript"/>
        </w:rPr>
        <w:t xml:space="preserve"> </w:t>
      </w:r>
      <w:r>
        <w:rPr>
          <w:rFonts w:hint="eastAsia"/>
        </w:rPr>
        <w:t xml:space="preserve">and </w:t>
      </w:r>
      <w:r>
        <w:rPr>
          <w:i/>
          <w:iCs/>
        </w:rPr>
        <w:t>k</w:t>
      </w:r>
      <w:r>
        <w:rPr>
          <w:i/>
          <w:iCs/>
          <w:vertAlign w:val="subscript"/>
        </w:rPr>
        <w:t>0</w:t>
      </w:r>
      <w:r>
        <w:t xml:space="preserve"> </w:t>
      </w:r>
      <w:r>
        <w:rPr>
          <w:rFonts w:hint="eastAsia"/>
        </w:rPr>
        <w:t>of a</w:t>
      </w:r>
      <w:r>
        <w:t xml:space="preserve"> PSCCH channel</w:t>
      </w:r>
      <w:r>
        <w:rPr>
          <w:rFonts w:hint="eastAsia"/>
        </w:rPr>
        <w:t xml:space="preserve"> unit can be defined separately for FR1 and FR2 taking into account the AGC issue.</w:t>
      </w:r>
    </w:p>
    <w:p w:rsidR="00650448" w:rsidRDefault="00371FC3">
      <w:pPr>
        <w:spacing w:before="120" w:after="120"/>
      </w:pPr>
      <w:r>
        <w:t xml:space="preserve">Option 2 offers more flexibility given the PSCCH channel resource unit can be variable according to several factors.  For instance, the channel unit size of a PSCCH can be adapted to SCS, resource pool and number of symbols assigned to sidelink within a slot, and etc.  Despite of the flexibility, </w:t>
      </w:r>
      <w:r>
        <w:rPr>
          <w:rFonts w:hint="eastAsia"/>
        </w:rPr>
        <w:t>o</w:t>
      </w:r>
      <w:r>
        <w:t xml:space="preserve">ption 2 introduces more complexity to PSCCH relevant scheme design and SCI detection process because more than one format of a PSCCH resource unit may be used on sidelink.  </w:t>
      </w:r>
    </w:p>
    <w:p w:rsidR="00650448" w:rsidRDefault="00371FC3">
      <w:pPr>
        <w:pStyle w:val="YJ-Proposal"/>
        <w:spacing w:before="120" w:after="120"/>
        <w:rPr>
          <w:szCs w:val="22"/>
          <w:lang w:val="en-US" w:eastAsia="zh-CN"/>
        </w:rPr>
      </w:pPr>
      <w:bookmarkStart w:id="18" w:name="_Ref2446"/>
      <w:bookmarkStart w:id="19" w:name="_Toc7752390"/>
      <w:r>
        <w:rPr>
          <w:rFonts w:hint="eastAsia"/>
          <w:szCs w:val="22"/>
          <w:lang w:val="en-US" w:eastAsia="zh-CN"/>
        </w:rPr>
        <w:t>One PSCCH resource unit is defined as a block of time-frequency resources across l</w:t>
      </w:r>
      <w:r>
        <w:rPr>
          <w:rFonts w:hint="eastAsia"/>
          <w:szCs w:val="22"/>
          <w:vertAlign w:val="subscript"/>
          <w:lang w:val="en-US" w:eastAsia="zh-CN"/>
        </w:rPr>
        <w:t xml:space="preserve">0 </w:t>
      </w:r>
      <w:r>
        <w:rPr>
          <w:rFonts w:hint="eastAsia"/>
          <w:szCs w:val="22"/>
          <w:lang w:val="en-US" w:eastAsia="zh-CN"/>
        </w:rPr>
        <w:t>symbols and k</w:t>
      </w:r>
      <w:r>
        <w:rPr>
          <w:rFonts w:hint="eastAsia"/>
          <w:szCs w:val="22"/>
          <w:vertAlign w:val="subscript"/>
          <w:lang w:val="en-US" w:eastAsia="zh-CN"/>
        </w:rPr>
        <w:t xml:space="preserve">0 </w:t>
      </w:r>
      <w:r>
        <w:rPr>
          <w:rFonts w:hint="eastAsia"/>
          <w:szCs w:val="22"/>
          <w:lang w:val="en-US" w:eastAsia="zh-CN"/>
        </w:rPr>
        <w:t>RBs, where both l</w:t>
      </w:r>
      <w:r>
        <w:rPr>
          <w:rFonts w:hint="eastAsia"/>
          <w:szCs w:val="22"/>
          <w:vertAlign w:val="subscript"/>
          <w:lang w:val="en-US" w:eastAsia="zh-CN"/>
        </w:rPr>
        <w:t>0</w:t>
      </w:r>
      <w:r>
        <w:rPr>
          <w:rFonts w:hint="eastAsia"/>
          <w:szCs w:val="22"/>
          <w:lang w:val="en-US" w:eastAsia="zh-CN"/>
        </w:rPr>
        <w:t xml:space="preserve"> and k</w:t>
      </w:r>
      <w:r>
        <w:rPr>
          <w:rFonts w:hint="eastAsia"/>
          <w:szCs w:val="22"/>
          <w:vertAlign w:val="subscript"/>
          <w:lang w:val="en-US" w:eastAsia="zh-CN"/>
        </w:rPr>
        <w:t xml:space="preserve">0 </w:t>
      </w:r>
      <w:r>
        <w:rPr>
          <w:rFonts w:hint="eastAsia"/>
          <w:szCs w:val="22"/>
          <w:lang w:val="en-US" w:eastAsia="zh-CN"/>
        </w:rPr>
        <w:t>are fixed numbers defined separately for FR1 and FR2.</w:t>
      </w:r>
      <w:bookmarkEnd w:id="18"/>
      <w:bookmarkEnd w:id="19"/>
    </w:p>
    <w:p w:rsidR="00650448" w:rsidRDefault="00371FC3">
      <w:pPr>
        <w:spacing w:before="120" w:after="120"/>
        <w:rPr>
          <w:szCs w:val="22"/>
        </w:rPr>
      </w:pPr>
      <w:r>
        <w:rPr>
          <w:rFonts w:hint="eastAsia"/>
          <w:szCs w:val="22"/>
        </w:rPr>
        <w:t xml:space="preserve">Secondly, with a fixed PSCCH channel unit size, the starting symbol and RB for a PSCCH resource should be defined, an example of PSCCH resource location within a slot is shown in </w:t>
      </w:r>
      <w:r>
        <w:rPr>
          <w:rFonts w:hint="eastAsia"/>
          <w:szCs w:val="22"/>
        </w:rPr>
        <w:fldChar w:fldCharType="begin"/>
      </w:r>
      <w:r>
        <w:rPr>
          <w:rFonts w:hint="eastAsia"/>
          <w:szCs w:val="22"/>
        </w:rPr>
        <w:instrText xml:space="preserve"> REF _Ref30164 \h </w:instrText>
      </w:r>
      <w:r>
        <w:rPr>
          <w:rFonts w:hint="eastAsia"/>
          <w:szCs w:val="22"/>
        </w:rPr>
      </w:r>
      <w:r>
        <w:rPr>
          <w:rFonts w:hint="eastAsia"/>
          <w:szCs w:val="22"/>
        </w:rPr>
        <w:fldChar w:fldCharType="separate"/>
      </w:r>
      <w:r>
        <w:rPr>
          <w:bCs/>
        </w:rPr>
        <w:t>Figure 3</w:t>
      </w:r>
      <w:r>
        <w:rPr>
          <w:rFonts w:hint="eastAsia"/>
          <w:szCs w:val="22"/>
        </w:rPr>
        <w:fldChar w:fldCharType="end"/>
      </w:r>
      <w:r>
        <w:rPr>
          <w:rFonts w:hint="eastAsia"/>
          <w:szCs w:val="22"/>
        </w:rPr>
        <w:t>.</w:t>
      </w:r>
    </w:p>
    <w:p w:rsidR="00650448" w:rsidRDefault="00371FC3">
      <w:pPr>
        <w:spacing w:before="120" w:after="120"/>
        <w:jc w:val="center"/>
        <w:rPr>
          <w:szCs w:val="22"/>
        </w:rPr>
      </w:pPr>
      <w:bookmarkStart w:id="20" w:name="_Toc29128"/>
      <w:r>
        <w:rPr>
          <w:rFonts w:hint="eastAsia"/>
          <w:noProof/>
          <w:szCs w:val="22"/>
        </w:rPr>
        <w:drawing>
          <wp:inline distT="0" distB="0" distL="114300" distR="114300">
            <wp:extent cx="3432810" cy="1827530"/>
            <wp:effectExtent l="0" t="0" r="15240" b="1270"/>
            <wp:docPr id="2" name="图片 2" descr="option 3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option 3 "/>
                    <pic:cNvPicPr>
                      <a:picLocks noChangeAspect="1"/>
                    </pic:cNvPicPr>
                  </pic:nvPicPr>
                  <pic:blipFill>
                    <a:blip r:embed="rId11"/>
                    <a:stretch>
                      <a:fillRect/>
                    </a:stretch>
                  </pic:blipFill>
                  <pic:spPr>
                    <a:xfrm>
                      <a:off x="0" y="0"/>
                      <a:ext cx="3432810" cy="1827530"/>
                    </a:xfrm>
                    <a:prstGeom prst="rect">
                      <a:avLst/>
                    </a:prstGeom>
                  </pic:spPr>
                </pic:pic>
              </a:graphicData>
            </a:graphic>
          </wp:inline>
        </w:drawing>
      </w:r>
      <w:bookmarkEnd w:id="20"/>
    </w:p>
    <w:p w:rsidR="00650448" w:rsidRDefault="00371FC3">
      <w:pPr>
        <w:pStyle w:val="Caption"/>
        <w:tabs>
          <w:tab w:val="left" w:pos="0"/>
        </w:tabs>
        <w:jc w:val="center"/>
        <w:rPr>
          <w:b w:val="0"/>
          <w:bCs/>
          <w:szCs w:val="22"/>
        </w:rPr>
      </w:pPr>
      <w:bookmarkStart w:id="21" w:name="_Ref30164"/>
      <w:r>
        <w:rPr>
          <w:b w:val="0"/>
          <w:bCs/>
        </w:rPr>
        <w:t xml:space="preserve">Figure </w:t>
      </w:r>
      <w:r>
        <w:rPr>
          <w:b w:val="0"/>
          <w:bCs/>
        </w:rPr>
        <w:fldChar w:fldCharType="begin"/>
      </w:r>
      <w:r>
        <w:rPr>
          <w:b w:val="0"/>
          <w:bCs/>
        </w:rPr>
        <w:instrText xml:space="preserve"> SEQ Figure \* ARABIC </w:instrText>
      </w:r>
      <w:r>
        <w:rPr>
          <w:b w:val="0"/>
          <w:bCs/>
        </w:rPr>
        <w:fldChar w:fldCharType="separate"/>
      </w:r>
      <w:r>
        <w:rPr>
          <w:b w:val="0"/>
          <w:bCs/>
        </w:rPr>
        <w:t>3</w:t>
      </w:r>
      <w:r>
        <w:rPr>
          <w:b w:val="0"/>
          <w:bCs/>
        </w:rPr>
        <w:fldChar w:fldCharType="end"/>
      </w:r>
      <w:bookmarkEnd w:id="21"/>
      <w:r>
        <w:rPr>
          <w:rFonts w:hint="eastAsia"/>
          <w:b w:val="0"/>
          <w:bCs/>
        </w:rPr>
        <w:t xml:space="preserve"> PSCCH resources location within a slot</w:t>
      </w:r>
    </w:p>
    <w:p w:rsidR="00650448" w:rsidRDefault="00371FC3">
      <w:pPr>
        <w:spacing w:before="120" w:after="120"/>
      </w:pPr>
      <w:r>
        <w:rPr>
          <w:rFonts w:hint="eastAsia"/>
        </w:rPr>
        <w:t>In time domain, among the assigned symbols</w:t>
      </w:r>
      <w:r>
        <w:t xml:space="preserve"> </w:t>
      </w:r>
      <w:r>
        <w:rPr>
          <w:rFonts w:hint="eastAsia"/>
        </w:rPr>
        <w:t xml:space="preserve">for sidelink </w:t>
      </w:r>
      <w:r>
        <w:t xml:space="preserve">in </w:t>
      </w:r>
      <w:r>
        <w:rPr>
          <w:rFonts w:hint="eastAsia"/>
        </w:rPr>
        <w:t xml:space="preserve">a </w:t>
      </w:r>
      <w:r>
        <w:t>slot</w:t>
      </w:r>
      <w:r>
        <w:rPr>
          <w:rFonts w:hint="eastAsia"/>
        </w:rPr>
        <w:t>, whether the first available symbol should be used to map SCI/data is mainly depend</w:t>
      </w:r>
      <w:r>
        <w:t>ing</w:t>
      </w:r>
      <w:r>
        <w:rPr>
          <w:rFonts w:hint="eastAsia"/>
        </w:rPr>
        <w:t xml:space="preserve"> on AGC time.  </w:t>
      </w:r>
      <w:r>
        <w:t xml:space="preserve">The </w:t>
      </w:r>
      <w:r>
        <w:rPr>
          <w:rFonts w:hint="eastAsia"/>
        </w:rPr>
        <w:t xml:space="preserve">AGC training time </w:t>
      </w:r>
      <w:r>
        <w:t xml:space="preserve">in unit of symbols </w:t>
      </w:r>
      <w:r>
        <w:rPr>
          <w:rFonts w:hint="eastAsia"/>
        </w:rPr>
        <w:t xml:space="preserve">varies </w:t>
      </w:r>
      <w:r>
        <w:t>among</w:t>
      </w:r>
      <w:r>
        <w:rPr>
          <w:rFonts w:hint="eastAsia"/>
        </w:rPr>
        <w:t xml:space="preserve"> different frequency bands</w:t>
      </w:r>
      <w:r>
        <w:t xml:space="preserve">, </w:t>
      </w:r>
      <w:r>
        <w:rPr>
          <w:rFonts w:hint="eastAsia"/>
        </w:rPr>
        <w:t>hardware implementation</w:t>
      </w:r>
      <w:r>
        <w:t xml:space="preserve">s and </w:t>
      </w:r>
      <w:r>
        <w:rPr>
          <w:rFonts w:hint="eastAsia"/>
        </w:rPr>
        <w:t>different SCS configuration</w:t>
      </w:r>
      <w:r>
        <w:t>s</w:t>
      </w:r>
      <w:r>
        <w:rPr>
          <w:rFonts w:hint="eastAsia"/>
        </w:rPr>
        <w:t>.  If dedicated AGC symbol(s) needs to be standard</w:t>
      </w:r>
      <w:r>
        <w:t>ized</w:t>
      </w:r>
      <w:r>
        <w:rPr>
          <w:rFonts w:hint="eastAsia"/>
        </w:rPr>
        <w:t xml:space="preserve"> on sidelink, it may </w:t>
      </w:r>
      <w:r>
        <w:t>introduce</w:t>
      </w:r>
      <w:r>
        <w:rPr>
          <w:rFonts w:hint="eastAsia"/>
        </w:rPr>
        <w:t xml:space="preserve"> unnecessary symbol </w:t>
      </w:r>
      <w:r>
        <w:t>overhead</w:t>
      </w:r>
      <w:r>
        <w:rPr>
          <w:rFonts w:hint="eastAsia"/>
        </w:rPr>
        <w:t xml:space="preserve"> and extra standard discussion as well.  Therefore, no explicit AGC symbol should be reserved </w:t>
      </w:r>
      <w:r>
        <w:t>on</w:t>
      </w:r>
      <w:r>
        <w:rPr>
          <w:rFonts w:hint="eastAsia"/>
        </w:rPr>
        <w:t xml:space="preserve"> sidelink</w:t>
      </w:r>
      <w:r>
        <w:t>.</w:t>
      </w:r>
      <w:r>
        <w:rPr>
          <w:rFonts w:hint="eastAsia"/>
        </w:rPr>
        <w:t xml:space="preserve"> </w:t>
      </w:r>
      <w:r>
        <w:t xml:space="preserve"> Consequently </w:t>
      </w:r>
      <w:r>
        <w:rPr>
          <w:rFonts w:hint="eastAsia"/>
        </w:rPr>
        <w:t xml:space="preserve">a reasonable position of starting symbol of PSCCH is the first symbol assigned for sidelink within a slot.  </w:t>
      </w:r>
    </w:p>
    <w:p w:rsidR="00650448" w:rsidRDefault="00371FC3">
      <w:pPr>
        <w:pStyle w:val="YJ-Proposal"/>
        <w:spacing w:before="120" w:after="120"/>
        <w:rPr>
          <w:rFonts w:eastAsia="SimSun"/>
          <w:szCs w:val="22"/>
          <w:lang w:val="en-US" w:eastAsia="zh-CN"/>
        </w:rPr>
      </w:pPr>
      <w:bookmarkStart w:id="22" w:name="_Toc7752391"/>
      <w:r>
        <w:rPr>
          <w:rFonts w:eastAsia="SimSun" w:hint="eastAsia"/>
          <w:szCs w:val="22"/>
          <w:lang w:val="en-US" w:eastAsia="zh-CN"/>
        </w:rPr>
        <w:t>In time domain, a PSCCH resource starts from the first sidelink symbol within a slot.</w:t>
      </w:r>
      <w:bookmarkEnd w:id="22"/>
      <w:r>
        <w:rPr>
          <w:rFonts w:eastAsia="SimSun" w:hint="eastAsia"/>
          <w:szCs w:val="22"/>
          <w:lang w:val="en-US" w:eastAsia="zh-CN"/>
        </w:rPr>
        <w:t xml:space="preserve"> </w:t>
      </w:r>
    </w:p>
    <w:p w:rsidR="00650448" w:rsidRDefault="00371FC3">
      <w:pPr>
        <w:spacing w:before="120" w:after="120"/>
      </w:pPr>
      <w:r>
        <w:rPr>
          <w:rFonts w:hint="eastAsia"/>
        </w:rPr>
        <w:lastRenderedPageBreak/>
        <w:t xml:space="preserve">In frequency domain, as sub-channel based PSSCH resource scheme is used and each sub-channel may be used as a PSSCH resource, it is nature to locate a </w:t>
      </w:r>
      <w:r>
        <w:t xml:space="preserve">PSCCH </w:t>
      </w:r>
      <w:r>
        <w:rPr>
          <w:rFonts w:hint="eastAsia"/>
        </w:rPr>
        <w:t>resource for a sub-channel.</w:t>
      </w:r>
    </w:p>
    <w:p w:rsidR="00650448" w:rsidRDefault="00371FC3">
      <w:pPr>
        <w:spacing w:before="120" w:after="120"/>
      </w:pPr>
      <w:r>
        <w:rPr>
          <w:rFonts w:hint="eastAsia"/>
        </w:rPr>
        <w:t xml:space="preserve">Similar to LTE sidelink, we propose to locate a PSCCH resource starting RB on the lowest RB in a sub-channel.  It means a PSCCH resource </w:t>
      </w:r>
      <w:r>
        <w:t>and relevant PSSCH resource have the same</w:t>
      </w:r>
      <w:r>
        <w:rPr>
          <w:rFonts w:hint="eastAsia"/>
        </w:rPr>
        <w:t xml:space="preserve"> starting</w:t>
      </w:r>
      <w:r>
        <w:t xml:space="preserve"> RB</w:t>
      </w:r>
      <w:r>
        <w:rPr>
          <w:rFonts w:hint="eastAsia"/>
        </w:rPr>
        <w:t xml:space="preserve"> </w:t>
      </w:r>
      <w:r>
        <w:t>which benefits the frequency resource indication of PSSCH in SCI</w:t>
      </w:r>
      <w:r>
        <w:rPr>
          <w:rFonts w:hint="eastAsia"/>
        </w:rPr>
        <w:t>, i.e.</w:t>
      </w:r>
      <w:r>
        <w:t xml:space="preserve"> only a number of </w:t>
      </w:r>
      <w:r>
        <w:rPr>
          <w:rFonts w:hint="eastAsia"/>
        </w:rPr>
        <w:t>sub-channels</w:t>
      </w:r>
      <w:r>
        <w:t xml:space="preserve"> used for PSSCH needs to be indicated.  </w:t>
      </w:r>
    </w:p>
    <w:p w:rsidR="00650448" w:rsidRDefault="00371FC3">
      <w:pPr>
        <w:pStyle w:val="YJ-Proposal"/>
        <w:spacing w:before="120" w:after="120"/>
        <w:rPr>
          <w:rFonts w:eastAsia="SimSun"/>
          <w:szCs w:val="22"/>
          <w:lang w:val="en-US" w:eastAsia="zh-CN"/>
        </w:rPr>
      </w:pPr>
      <w:bookmarkStart w:id="23" w:name="_Toc7752392"/>
      <w:r>
        <w:rPr>
          <w:rFonts w:eastAsia="SimSun" w:hint="eastAsia"/>
          <w:szCs w:val="22"/>
          <w:lang w:val="en-US" w:eastAsia="zh-CN"/>
        </w:rPr>
        <w:t>In frequency domain, a PSCCH resource starts from the lowest RB within a sub-channel.</w:t>
      </w:r>
      <w:bookmarkEnd w:id="23"/>
      <w:r>
        <w:rPr>
          <w:rFonts w:eastAsia="SimSun" w:hint="eastAsia"/>
          <w:szCs w:val="22"/>
          <w:lang w:val="en-US" w:eastAsia="zh-CN"/>
        </w:rPr>
        <w:t xml:space="preserve"> </w:t>
      </w:r>
    </w:p>
    <w:p w:rsidR="00650448" w:rsidRDefault="00371FC3">
      <w:pPr>
        <w:pStyle w:val="Heading3"/>
        <w:spacing w:after="120"/>
        <w:ind w:right="200"/>
        <w:rPr>
          <w:szCs w:val="22"/>
        </w:rPr>
      </w:pPr>
      <w:r>
        <w:rPr>
          <w:rFonts w:hint="eastAsia"/>
          <w:szCs w:val="22"/>
        </w:rPr>
        <w:t>PSFCH</w:t>
      </w:r>
    </w:p>
    <w:p w:rsidR="00650448" w:rsidRDefault="00371FC3">
      <w:pPr>
        <w:spacing w:before="120" w:after="120"/>
        <w:rPr>
          <w:szCs w:val="22"/>
        </w:rPr>
      </w:pPr>
      <w:r>
        <w:rPr>
          <w:rFonts w:hint="eastAsia"/>
          <w:szCs w:val="22"/>
        </w:rPr>
        <w:t xml:space="preserve">It is agreed that the HARQ feedback of related PSSCH transmission should be signaled on a PSFCH resource with a time interval which is (pre-)configured, and then no time domain indication for the PSFCH is needed.  </w:t>
      </w:r>
    </w:p>
    <w:p w:rsidR="00650448" w:rsidRDefault="00371FC3">
      <w:pPr>
        <w:spacing w:before="120" w:after="120"/>
      </w:pPr>
      <w:r>
        <w:rPr>
          <w:rFonts w:hint="eastAsia"/>
        </w:rPr>
        <w:t xml:space="preserve">As the HARQ feedback on PSFCH is for the PSSCH several slots before, it means within a slot, the transmitting UE of PSCCH/PSSCH and the transmitting UE of PSFCH may be different.  On one hand, for the UE which needs to feedback on a slot, it cannot receive PSCCH/PSSCH on the same slot if FDM structure is used for PSCCH/PSSCH and PSFCH within a slot, i.e., FDM of PSCCH/PSSCH and PSFCH may deteriorate the half-duplexing issue.  On the other hand, from the perspective of feedback information bearing, short term feedback format with a few number of symbol(s) is enough to carry A/N information while more bits feedback such as CSI report can be multiplexed in PSSCH.  Therefore the resources of PSCCH/PSSCH and PSFCH should be TDM. </w:t>
      </w:r>
    </w:p>
    <w:p w:rsidR="00650448" w:rsidRDefault="00371FC3">
      <w:pPr>
        <w:pStyle w:val="YJ-Proposal"/>
        <w:spacing w:before="120" w:after="120"/>
        <w:rPr>
          <w:szCs w:val="22"/>
          <w:lang w:val="en-US" w:eastAsia="zh-CN"/>
        </w:rPr>
      </w:pPr>
      <w:bookmarkStart w:id="24" w:name="_Toc7752393"/>
      <w:r>
        <w:rPr>
          <w:rFonts w:hint="eastAsia"/>
          <w:szCs w:val="22"/>
          <w:lang w:val="en-US" w:eastAsia="zh-CN"/>
        </w:rPr>
        <w:t>PSFCH resources should TDM with PSCCH/PSSCH resources within one slot.</w:t>
      </w:r>
      <w:bookmarkEnd w:id="24"/>
    </w:p>
    <w:p w:rsidR="00650448" w:rsidRDefault="00371FC3">
      <w:pPr>
        <w:spacing w:before="120" w:after="120"/>
        <w:rPr>
          <w:szCs w:val="22"/>
        </w:rPr>
      </w:pPr>
      <w:r>
        <w:rPr>
          <w:szCs w:val="22"/>
        </w:rPr>
        <w:t>The</w:t>
      </w:r>
      <w:r>
        <w:rPr>
          <w:rFonts w:hint="eastAsia"/>
          <w:szCs w:val="22"/>
        </w:rPr>
        <w:t xml:space="preserve"> TDM structure of PSCCH/PSSCH and PSFCH requires a GP between PSSCH and PSFCH resources within a slot</w:t>
      </w:r>
      <w:r>
        <w:rPr>
          <w:szCs w:val="22"/>
        </w:rPr>
        <w:t>,</w:t>
      </w:r>
      <w:r>
        <w:rPr>
          <w:rFonts w:hint="eastAsia"/>
          <w:szCs w:val="22"/>
        </w:rPr>
        <w:t xml:space="preserve"> which allow</w:t>
      </w:r>
      <w:r>
        <w:rPr>
          <w:szCs w:val="22"/>
        </w:rPr>
        <w:t>s</w:t>
      </w:r>
      <w:r>
        <w:rPr>
          <w:rFonts w:hint="eastAsia"/>
          <w:szCs w:val="22"/>
        </w:rPr>
        <w:t xml:space="preserve"> UE receiving PSCCH/PSSCH first and then transmitting the feedback on PSFCH as shown in </w:t>
      </w:r>
      <w:r>
        <w:rPr>
          <w:rFonts w:hint="eastAsia"/>
          <w:szCs w:val="22"/>
        </w:rPr>
        <w:fldChar w:fldCharType="begin"/>
      </w:r>
      <w:r>
        <w:rPr>
          <w:rFonts w:hint="eastAsia"/>
          <w:szCs w:val="22"/>
        </w:rPr>
        <w:instrText xml:space="preserve"> REF _Ref15563 \h </w:instrText>
      </w:r>
      <w:r>
        <w:rPr>
          <w:rFonts w:hint="eastAsia"/>
          <w:szCs w:val="22"/>
        </w:rPr>
      </w:r>
      <w:r>
        <w:rPr>
          <w:rFonts w:hint="eastAsia"/>
          <w:szCs w:val="22"/>
        </w:rPr>
        <w:fldChar w:fldCharType="separate"/>
      </w:r>
      <w:r>
        <w:rPr>
          <w:bCs/>
        </w:rPr>
        <w:t>Figure 4</w:t>
      </w:r>
      <w:r>
        <w:rPr>
          <w:rFonts w:hint="eastAsia"/>
          <w:szCs w:val="22"/>
        </w:rPr>
        <w:fldChar w:fldCharType="end"/>
      </w:r>
      <w:r>
        <w:rPr>
          <w:rFonts w:hint="eastAsia"/>
          <w:szCs w:val="22"/>
        </w:rPr>
        <w:t>.</w:t>
      </w:r>
      <w:r>
        <w:rPr>
          <w:szCs w:val="22"/>
        </w:rPr>
        <w:t xml:space="preserve"> </w:t>
      </w:r>
      <w:r>
        <w:rPr>
          <w:rFonts w:hint="eastAsia"/>
          <w:szCs w:val="22"/>
        </w:rPr>
        <w:t>Besides, for a UE transmi</w:t>
      </w:r>
      <w:r>
        <w:rPr>
          <w:szCs w:val="22"/>
        </w:rPr>
        <w:t>t</w:t>
      </w:r>
      <w:r>
        <w:rPr>
          <w:rFonts w:hint="eastAsia"/>
          <w:szCs w:val="22"/>
        </w:rPr>
        <w:t>t</w:t>
      </w:r>
      <w:r>
        <w:rPr>
          <w:szCs w:val="22"/>
        </w:rPr>
        <w:t>ing</w:t>
      </w:r>
      <w:r>
        <w:rPr>
          <w:rFonts w:hint="eastAsia"/>
          <w:szCs w:val="22"/>
        </w:rPr>
        <w:t xml:space="preserve"> PSCCH/PSSCH and A/N feedback in a same slot, the GP between PSSCH and PSFCH can also be used for its power modification according to the clarification given in </w:t>
      </w:r>
      <w:r>
        <w:rPr>
          <w:rFonts w:hint="eastAsia"/>
          <w:szCs w:val="22"/>
        </w:rPr>
        <w:fldChar w:fldCharType="begin"/>
      </w:r>
      <w:r>
        <w:rPr>
          <w:rFonts w:hint="eastAsia"/>
          <w:szCs w:val="22"/>
        </w:rPr>
        <w:instrText xml:space="preserve"> REF _Ref26666 \n \h </w:instrText>
      </w:r>
      <w:r>
        <w:rPr>
          <w:rFonts w:hint="eastAsia"/>
          <w:szCs w:val="22"/>
        </w:rPr>
      </w:r>
      <w:r>
        <w:rPr>
          <w:rFonts w:hint="eastAsia"/>
          <w:szCs w:val="22"/>
        </w:rPr>
        <w:fldChar w:fldCharType="separate"/>
      </w:r>
      <w:r>
        <w:rPr>
          <w:rFonts w:hint="eastAsia"/>
          <w:szCs w:val="22"/>
        </w:rPr>
        <w:t>[5]</w:t>
      </w:r>
      <w:r>
        <w:rPr>
          <w:rFonts w:hint="eastAsia"/>
          <w:szCs w:val="22"/>
        </w:rPr>
        <w:fldChar w:fldCharType="end"/>
      </w:r>
      <w:r>
        <w:rPr>
          <w:rFonts w:hint="eastAsia"/>
          <w:szCs w:val="22"/>
        </w:rPr>
        <w:t>.  It requires a transient period when UE transmits on different size of RBs on consecutive symbols.  As the GP allows UE to reset its power on PSFCH symbol(s), it is reasonable to support UE transmitting PSCCH/PSSCH and PSFCH within a same slot.</w:t>
      </w:r>
    </w:p>
    <w:p w:rsidR="00650448" w:rsidRDefault="00371FC3">
      <w:pPr>
        <w:spacing w:before="120" w:after="120"/>
        <w:jc w:val="center"/>
        <w:rPr>
          <w:szCs w:val="22"/>
        </w:rPr>
      </w:pPr>
      <w:r>
        <w:rPr>
          <w:rFonts w:hint="eastAsia"/>
          <w:noProof/>
          <w:szCs w:val="22"/>
        </w:rPr>
        <w:drawing>
          <wp:inline distT="0" distB="0" distL="114300" distR="114300">
            <wp:extent cx="2708275" cy="1640205"/>
            <wp:effectExtent l="0" t="0" r="15875" b="17145"/>
            <wp:docPr id="11" name="图片 11" descr="PSF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PSFCH"/>
                    <pic:cNvPicPr>
                      <a:picLocks noChangeAspect="1"/>
                    </pic:cNvPicPr>
                  </pic:nvPicPr>
                  <pic:blipFill>
                    <a:blip r:embed="rId12"/>
                    <a:stretch>
                      <a:fillRect/>
                    </a:stretch>
                  </pic:blipFill>
                  <pic:spPr>
                    <a:xfrm>
                      <a:off x="0" y="0"/>
                      <a:ext cx="2708275" cy="1640205"/>
                    </a:xfrm>
                    <a:prstGeom prst="rect">
                      <a:avLst/>
                    </a:prstGeom>
                  </pic:spPr>
                </pic:pic>
              </a:graphicData>
            </a:graphic>
          </wp:inline>
        </w:drawing>
      </w:r>
    </w:p>
    <w:p w:rsidR="00650448" w:rsidRDefault="00371FC3">
      <w:pPr>
        <w:pStyle w:val="Caption"/>
        <w:jc w:val="center"/>
        <w:rPr>
          <w:b w:val="0"/>
          <w:bCs/>
          <w:szCs w:val="22"/>
        </w:rPr>
      </w:pPr>
      <w:bookmarkStart w:id="25" w:name="_Ref15563"/>
      <w:r>
        <w:rPr>
          <w:b w:val="0"/>
          <w:bCs/>
        </w:rPr>
        <w:t xml:space="preserve">Figure </w:t>
      </w:r>
      <w:r>
        <w:rPr>
          <w:b w:val="0"/>
          <w:bCs/>
        </w:rPr>
        <w:fldChar w:fldCharType="begin"/>
      </w:r>
      <w:r>
        <w:rPr>
          <w:b w:val="0"/>
          <w:bCs/>
        </w:rPr>
        <w:instrText xml:space="preserve"> SEQ Figure \* ARABIC </w:instrText>
      </w:r>
      <w:r>
        <w:rPr>
          <w:b w:val="0"/>
          <w:bCs/>
        </w:rPr>
        <w:fldChar w:fldCharType="separate"/>
      </w:r>
      <w:r>
        <w:rPr>
          <w:b w:val="0"/>
          <w:bCs/>
        </w:rPr>
        <w:t>4</w:t>
      </w:r>
      <w:r>
        <w:rPr>
          <w:b w:val="0"/>
          <w:bCs/>
        </w:rPr>
        <w:fldChar w:fldCharType="end"/>
      </w:r>
      <w:bookmarkEnd w:id="25"/>
      <w:r>
        <w:rPr>
          <w:rFonts w:hint="eastAsia"/>
          <w:b w:val="0"/>
          <w:bCs/>
        </w:rPr>
        <w:t xml:space="preserve"> TDM structure of PSCCH/PSSCH and PSFCH</w:t>
      </w:r>
    </w:p>
    <w:p w:rsidR="00650448" w:rsidRDefault="00371FC3">
      <w:pPr>
        <w:pStyle w:val="YJ-Proposal"/>
        <w:spacing w:before="120" w:after="120"/>
        <w:rPr>
          <w:szCs w:val="22"/>
          <w:lang w:val="en-US" w:eastAsia="zh-CN"/>
        </w:rPr>
      </w:pPr>
      <w:bookmarkStart w:id="26" w:name="_Toc7752394"/>
      <w:r>
        <w:rPr>
          <w:rFonts w:hint="eastAsia"/>
          <w:szCs w:val="22"/>
          <w:lang w:val="en-US" w:eastAsia="zh-CN"/>
        </w:rPr>
        <w:t>A GP should be allocated between PSSCH and PSFCH resources within one slot.</w:t>
      </w:r>
      <w:bookmarkEnd w:id="26"/>
    </w:p>
    <w:p w:rsidR="00650448" w:rsidRDefault="00371FC3">
      <w:pPr>
        <w:pStyle w:val="YJ-Proposal"/>
        <w:spacing w:before="120" w:after="120"/>
        <w:rPr>
          <w:szCs w:val="22"/>
          <w:lang w:val="en-US" w:eastAsia="zh-CN"/>
        </w:rPr>
      </w:pPr>
      <w:bookmarkStart w:id="27" w:name="_Toc7752395"/>
      <w:r>
        <w:rPr>
          <w:szCs w:val="22"/>
          <w:lang w:val="en-US" w:eastAsia="zh-CN"/>
        </w:rPr>
        <w:t>The</w:t>
      </w:r>
      <w:r>
        <w:rPr>
          <w:rFonts w:hint="eastAsia"/>
          <w:szCs w:val="22"/>
          <w:lang w:val="en-US" w:eastAsia="zh-CN"/>
        </w:rPr>
        <w:t xml:space="preserve"> UE is allowed to transmit </w:t>
      </w:r>
      <w:r>
        <w:rPr>
          <w:szCs w:val="22"/>
          <w:lang w:val="en-US" w:eastAsia="zh-CN"/>
        </w:rPr>
        <w:t xml:space="preserve">both </w:t>
      </w:r>
      <w:r>
        <w:rPr>
          <w:rFonts w:hint="eastAsia"/>
          <w:szCs w:val="22"/>
          <w:lang w:val="en-US" w:eastAsia="zh-CN"/>
        </w:rPr>
        <w:t>PSCCH/PSSCH and PSFCH within one slot.</w:t>
      </w:r>
      <w:bookmarkEnd w:id="27"/>
    </w:p>
    <w:p w:rsidR="00650448" w:rsidRDefault="00371FC3">
      <w:pPr>
        <w:spacing w:before="120" w:after="120"/>
        <w:rPr>
          <w:szCs w:val="22"/>
        </w:rPr>
      </w:pPr>
      <w:r>
        <w:rPr>
          <w:rFonts w:hint="eastAsia"/>
          <w:szCs w:val="22"/>
        </w:rPr>
        <w:t xml:space="preserve">In frequency domain, as sub-channel is used as PSSCH resource unit and each sub-channel may carry a data packet transmission, a nature scheme is to assign PSFCH resources depending on the sub-channels of PSSCH.  </w:t>
      </w:r>
    </w:p>
    <w:p w:rsidR="00650448" w:rsidRDefault="00371FC3">
      <w:pPr>
        <w:spacing w:before="120" w:after="120"/>
        <w:rPr>
          <w:szCs w:val="22"/>
        </w:rPr>
      </w:pPr>
      <w:bookmarkStart w:id="28" w:name="_Ref26051"/>
      <w:r>
        <w:rPr>
          <w:rFonts w:hint="eastAsia"/>
          <w:szCs w:val="22"/>
        </w:rPr>
        <w:t xml:space="preserve">As a whole, from the perspective of sidelink resource pool, PSFCH resources should locate on last symbol(s) within a slot in time domain and within the sub-channels of associated PSSCH in frequency domain.  Meanwhile, considering a few bits of A/N may be carried on a PSFCH resource, a common PSFCH channel unit, i.e. same number of symbols and RBs of every PFSCH resources, is sufficient and benefits feedback information detection.  </w:t>
      </w:r>
    </w:p>
    <w:p w:rsidR="00650448" w:rsidRDefault="00371FC3">
      <w:pPr>
        <w:pStyle w:val="YJ-Proposal"/>
        <w:spacing w:before="120" w:after="120"/>
        <w:rPr>
          <w:szCs w:val="22"/>
        </w:rPr>
      </w:pPr>
      <w:bookmarkStart w:id="29" w:name="_Toc7752396"/>
      <w:r>
        <w:rPr>
          <w:rFonts w:hint="eastAsia"/>
          <w:lang w:val="en-US" w:eastAsia="zh-CN"/>
        </w:rPr>
        <w:t>In a sidelink resource pool, PFSCH resources should be (pre-)configured with a fix</w:t>
      </w:r>
      <w:r>
        <w:rPr>
          <w:lang w:val="en-US" w:eastAsia="zh-CN"/>
        </w:rPr>
        <w:t>-size</w:t>
      </w:r>
      <w:r>
        <w:rPr>
          <w:rFonts w:hint="eastAsia"/>
          <w:lang w:val="en-US" w:eastAsia="zh-CN"/>
        </w:rPr>
        <w:t xml:space="preserve"> channel unit, i.e. one PSFCH resource contains fixed number</w:t>
      </w:r>
      <w:r>
        <w:rPr>
          <w:lang w:val="en-US" w:eastAsia="zh-CN"/>
        </w:rPr>
        <w:t>s</w:t>
      </w:r>
      <w:r>
        <w:rPr>
          <w:rFonts w:hint="eastAsia"/>
          <w:lang w:val="en-US" w:eastAsia="zh-CN"/>
        </w:rPr>
        <w:t xml:space="preserve"> of symbols and RBs</w:t>
      </w:r>
      <w:r>
        <w:rPr>
          <w:rFonts w:hint="eastAsia"/>
          <w:szCs w:val="22"/>
          <w:lang w:val="en-US" w:eastAsia="zh-CN"/>
        </w:rPr>
        <w:t>.</w:t>
      </w:r>
      <w:bookmarkEnd w:id="28"/>
      <w:bookmarkEnd w:id="29"/>
      <w:r>
        <w:rPr>
          <w:rFonts w:hint="eastAsia"/>
          <w:szCs w:val="22"/>
          <w:lang w:val="en-US" w:eastAsia="zh-CN"/>
        </w:rPr>
        <w:t xml:space="preserve"> </w:t>
      </w:r>
    </w:p>
    <w:p w:rsidR="00650448" w:rsidRDefault="00371FC3">
      <w:pPr>
        <w:spacing w:before="120" w:after="120"/>
        <w:rPr>
          <w:szCs w:val="22"/>
        </w:rPr>
      </w:pPr>
      <w:r>
        <w:rPr>
          <w:rFonts w:hint="eastAsia"/>
          <w:szCs w:val="22"/>
        </w:rPr>
        <w:t xml:space="preserve">During the discussion in sidelink feedback procedure in RAN 1 #96bis meeting, it is agreed to assign PSFCH with a period of </w:t>
      </w:r>
      <w:r>
        <w:rPr>
          <w:rFonts w:hint="eastAsia"/>
          <w:i/>
          <w:iCs/>
          <w:szCs w:val="22"/>
        </w:rPr>
        <w:t>N</w:t>
      </w:r>
      <w:r>
        <w:rPr>
          <w:rFonts w:hint="eastAsia"/>
          <w:szCs w:val="22"/>
        </w:rPr>
        <w:t xml:space="preserve"> slot(s) in a sidelink resource pool, </w:t>
      </w:r>
      <w:r>
        <w:rPr>
          <w:rFonts w:hint="eastAsia"/>
          <w:i/>
          <w:iCs/>
          <w:szCs w:val="22"/>
        </w:rPr>
        <w:t xml:space="preserve">N </w:t>
      </w:r>
      <w:r>
        <w:rPr>
          <w:rFonts w:hint="eastAsia"/>
          <w:szCs w:val="22"/>
        </w:rPr>
        <w:t xml:space="preserve">can be configured as </w:t>
      </w:r>
      <w:r>
        <w:rPr>
          <w:rFonts w:hint="eastAsia"/>
          <w:i/>
          <w:iCs/>
          <w:szCs w:val="22"/>
        </w:rPr>
        <w:t>N</w:t>
      </w:r>
      <w:r>
        <w:rPr>
          <w:rFonts w:hint="eastAsia"/>
          <w:szCs w:val="22"/>
        </w:rPr>
        <w:t xml:space="preserve"> =1 or other values.  </w:t>
      </w:r>
    </w:p>
    <w:p w:rsidR="00650448" w:rsidRDefault="00371FC3">
      <w:pPr>
        <w:pStyle w:val="ListParagraph"/>
        <w:numPr>
          <w:ilvl w:val="0"/>
          <w:numId w:val="9"/>
        </w:numPr>
        <w:spacing w:before="120" w:after="120"/>
        <w:ind w:hanging="720"/>
        <w:rPr>
          <w:b/>
          <w:bCs/>
          <w:sz w:val="20"/>
          <w:szCs w:val="20"/>
        </w:rPr>
      </w:pPr>
      <w:r>
        <w:rPr>
          <w:rFonts w:hint="eastAsia"/>
          <w:b/>
          <w:bCs/>
          <w:sz w:val="20"/>
          <w:szCs w:val="20"/>
        </w:rPr>
        <w:lastRenderedPageBreak/>
        <w:t xml:space="preserve">Case 1: </w:t>
      </w:r>
      <w:r>
        <w:rPr>
          <w:rFonts w:hint="eastAsia"/>
          <w:b/>
          <w:bCs/>
          <w:i/>
          <w:iCs/>
          <w:sz w:val="20"/>
          <w:szCs w:val="20"/>
        </w:rPr>
        <w:t xml:space="preserve"> N</w:t>
      </w:r>
      <w:r>
        <w:rPr>
          <w:rFonts w:hint="eastAsia"/>
          <w:b/>
          <w:bCs/>
          <w:sz w:val="20"/>
          <w:szCs w:val="20"/>
        </w:rPr>
        <w:t xml:space="preserve"> = 1</w:t>
      </w:r>
    </w:p>
    <w:p w:rsidR="00650448" w:rsidRDefault="00371FC3">
      <w:pPr>
        <w:spacing w:before="120" w:after="120"/>
        <w:rPr>
          <w:szCs w:val="22"/>
        </w:rPr>
      </w:pPr>
      <w:r>
        <w:rPr>
          <w:rFonts w:hint="eastAsia"/>
          <w:szCs w:val="22"/>
        </w:rPr>
        <w:t>When</w:t>
      </w:r>
      <w:r>
        <w:rPr>
          <w:rFonts w:hint="eastAsia"/>
          <w:i/>
          <w:iCs/>
          <w:szCs w:val="22"/>
        </w:rPr>
        <w:t xml:space="preserve"> N</w:t>
      </w:r>
      <w:r>
        <w:rPr>
          <w:rFonts w:hint="eastAsia"/>
          <w:szCs w:val="22"/>
        </w:rPr>
        <w:t xml:space="preserve"> = 1, it means PSFCH should be allocated in every slot included in sidelink resource pool.  It is easy to define a one-to-one mapping relation according to the configured slot interval between PSSCH and PSFCH resources.  </w:t>
      </w:r>
    </w:p>
    <w:p w:rsidR="00650448" w:rsidRDefault="00371FC3">
      <w:pPr>
        <w:spacing w:before="120" w:after="120"/>
        <w:rPr>
          <w:szCs w:val="22"/>
        </w:rPr>
      </w:pPr>
      <w:r>
        <w:rPr>
          <w:rFonts w:hint="eastAsia"/>
          <w:szCs w:val="22"/>
        </w:rPr>
        <w:t xml:space="preserve">Another issue needs to be noted is that, while slots in sidelink resource pool are not consecutive, the actual slot interval may vary depending on the configuration of sidelink resource pool.  To avoid mapping confusion, the slot interval </w:t>
      </w:r>
      <w:r>
        <w:rPr>
          <w:szCs w:val="22"/>
        </w:rPr>
        <w:t>“</w:t>
      </w:r>
      <w:r>
        <w:rPr>
          <w:rFonts w:hint="eastAsia"/>
          <w:i/>
          <w:iCs/>
          <w:szCs w:val="22"/>
        </w:rPr>
        <w:t>k</w:t>
      </w:r>
      <w:r>
        <w:rPr>
          <w:szCs w:val="22"/>
        </w:rPr>
        <w:t>”</w:t>
      </w:r>
      <w:r>
        <w:rPr>
          <w:rFonts w:hint="eastAsia"/>
          <w:szCs w:val="22"/>
        </w:rPr>
        <w:t xml:space="preserve"> between PSSCH and corresponding PSFCH should be defined in logical slots array which are contained in sidelink resource pool, as shown in </w:t>
      </w:r>
      <w:r>
        <w:rPr>
          <w:rFonts w:hint="eastAsia"/>
          <w:szCs w:val="22"/>
        </w:rPr>
        <w:fldChar w:fldCharType="begin"/>
      </w:r>
      <w:r>
        <w:rPr>
          <w:rFonts w:hint="eastAsia"/>
          <w:szCs w:val="22"/>
        </w:rPr>
        <w:instrText xml:space="preserve"> REF _Ref17660 \h </w:instrText>
      </w:r>
      <w:r>
        <w:rPr>
          <w:rFonts w:hint="eastAsia"/>
          <w:szCs w:val="22"/>
        </w:rPr>
      </w:r>
      <w:r>
        <w:rPr>
          <w:rFonts w:hint="eastAsia"/>
          <w:szCs w:val="22"/>
        </w:rPr>
        <w:fldChar w:fldCharType="separate"/>
      </w:r>
      <w:r>
        <w:rPr>
          <w:bCs/>
        </w:rPr>
        <w:t>Figure 5</w:t>
      </w:r>
      <w:r>
        <w:rPr>
          <w:rFonts w:hint="eastAsia"/>
          <w:szCs w:val="22"/>
        </w:rPr>
        <w:fldChar w:fldCharType="end"/>
      </w:r>
      <w:r>
        <w:rPr>
          <w:rFonts w:hint="eastAsia"/>
          <w:szCs w:val="22"/>
        </w:rPr>
        <w:t>.</w:t>
      </w:r>
    </w:p>
    <w:p w:rsidR="00650448" w:rsidRDefault="00371FC3">
      <w:pPr>
        <w:spacing w:before="120" w:after="120"/>
        <w:jc w:val="center"/>
        <w:rPr>
          <w:szCs w:val="22"/>
        </w:rPr>
      </w:pPr>
      <w:r>
        <w:rPr>
          <w:rFonts w:hint="eastAsia"/>
          <w:noProof/>
          <w:szCs w:val="22"/>
        </w:rPr>
        <w:drawing>
          <wp:inline distT="0" distB="0" distL="114300" distR="114300">
            <wp:extent cx="5459095" cy="1419860"/>
            <wp:effectExtent l="0" t="0" r="8255" b="8255"/>
            <wp:docPr id="13" name="图片 13" descr="N = 1 PSFCH - 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N = 1 PSFCH - 副本"/>
                    <pic:cNvPicPr>
                      <a:picLocks noChangeAspect="1"/>
                    </pic:cNvPicPr>
                  </pic:nvPicPr>
                  <pic:blipFill>
                    <a:blip r:embed="rId13"/>
                    <a:stretch>
                      <a:fillRect/>
                    </a:stretch>
                  </pic:blipFill>
                  <pic:spPr>
                    <a:xfrm>
                      <a:off x="0" y="0"/>
                      <a:ext cx="5459095" cy="1419860"/>
                    </a:xfrm>
                    <a:prstGeom prst="rect">
                      <a:avLst/>
                    </a:prstGeom>
                  </pic:spPr>
                </pic:pic>
              </a:graphicData>
            </a:graphic>
          </wp:inline>
        </w:drawing>
      </w:r>
    </w:p>
    <w:p w:rsidR="00650448" w:rsidRDefault="00371FC3">
      <w:pPr>
        <w:pStyle w:val="Caption"/>
        <w:jc w:val="center"/>
        <w:rPr>
          <w:b w:val="0"/>
          <w:bCs/>
          <w:szCs w:val="22"/>
        </w:rPr>
      </w:pPr>
      <w:bookmarkStart w:id="30" w:name="_Ref17660"/>
      <w:r>
        <w:rPr>
          <w:b w:val="0"/>
          <w:bCs/>
        </w:rPr>
        <w:t xml:space="preserve">Figure </w:t>
      </w:r>
      <w:r>
        <w:rPr>
          <w:b w:val="0"/>
          <w:bCs/>
        </w:rPr>
        <w:fldChar w:fldCharType="begin"/>
      </w:r>
      <w:r>
        <w:rPr>
          <w:b w:val="0"/>
          <w:bCs/>
        </w:rPr>
        <w:instrText xml:space="preserve"> SEQ Figure \* ARABIC </w:instrText>
      </w:r>
      <w:r>
        <w:rPr>
          <w:b w:val="0"/>
          <w:bCs/>
        </w:rPr>
        <w:fldChar w:fldCharType="separate"/>
      </w:r>
      <w:r>
        <w:rPr>
          <w:b w:val="0"/>
          <w:bCs/>
        </w:rPr>
        <w:t>5</w:t>
      </w:r>
      <w:r>
        <w:rPr>
          <w:b w:val="0"/>
          <w:bCs/>
        </w:rPr>
        <w:fldChar w:fldCharType="end"/>
      </w:r>
      <w:bookmarkEnd w:id="30"/>
      <w:r>
        <w:rPr>
          <w:rFonts w:hint="eastAsia"/>
          <w:b w:val="0"/>
          <w:bCs/>
        </w:rPr>
        <w:t xml:space="preserve"> </w:t>
      </w:r>
      <w:r>
        <w:rPr>
          <w:rFonts w:hint="eastAsia"/>
          <w:b w:val="0"/>
          <w:bCs/>
          <w:i/>
          <w:iCs/>
        </w:rPr>
        <w:t xml:space="preserve">N </w:t>
      </w:r>
      <w:r>
        <w:rPr>
          <w:rFonts w:hint="eastAsia"/>
          <w:b w:val="0"/>
          <w:bCs/>
        </w:rPr>
        <w:t>= 1 for PSFCH resource allocation</w:t>
      </w:r>
    </w:p>
    <w:p w:rsidR="00650448" w:rsidRDefault="00371FC3">
      <w:pPr>
        <w:pStyle w:val="YJ-Proposal"/>
        <w:spacing w:before="120" w:after="120"/>
        <w:rPr>
          <w:szCs w:val="22"/>
          <w:lang w:val="en-US" w:eastAsia="zh-CN"/>
        </w:rPr>
      </w:pPr>
      <w:bookmarkStart w:id="31" w:name="_Toc7752397"/>
      <w:r>
        <w:rPr>
          <w:rFonts w:hint="eastAsia"/>
          <w:szCs w:val="22"/>
          <w:lang w:val="en-US" w:eastAsia="zh-CN"/>
        </w:rPr>
        <w:t>The slot interval between PSSCH and related PSFCH resources is k, where k is a logical slot interval arranged within sidelink resource pool.</w:t>
      </w:r>
      <w:bookmarkEnd w:id="31"/>
    </w:p>
    <w:p w:rsidR="00650448" w:rsidRDefault="00371FC3">
      <w:pPr>
        <w:pStyle w:val="ListParagraph"/>
        <w:numPr>
          <w:ilvl w:val="0"/>
          <w:numId w:val="9"/>
        </w:numPr>
        <w:spacing w:before="120" w:after="120"/>
        <w:ind w:hanging="720"/>
        <w:rPr>
          <w:b/>
          <w:bCs/>
          <w:sz w:val="20"/>
          <w:szCs w:val="20"/>
        </w:rPr>
      </w:pPr>
      <w:r>
        <w:rPr>
          <w:rFonts w:hint="eastAsia"/>
          <w:b/>
          <w:bCs/>
          <w:sz w:val="20"/>
          <w:szCs w:val="20"/>
        </w:rPr>
        <w:t xml:space="preserve">Case 2: </w:t>
      </w:r>
      <w:r>
        <w:rPr>
          <w:rFonts w:hint="eastAsia"/>
          <w:b/>
          <w:bCs/>
          <w:i/>
          <w:iCs/>
          <w:sz w:val="20"/>
          <w:szCs w:val="20"/>
        </w:rPr>
        <w:t xml:space="preserve"> N</w:t>
      </w:r>
      <w:r>
        <w:rPr>
          <w:rFonts w:hint="eastAsia"/>
          <w:b/>
          <w:bCs/>
          <w:sz w:val="20"/>
          <w:szCs w:val="20"/>
        </w:rPr>
        <w:t xml:space="preserve"> &gt; 1</w:t>
      </w:r>
    </w:p>
    <w:p w:rsidR="00650448" w:rsidRDefault="00371FC3">
      <w:pPr>
        <w:spacing w:before="120" w:after="120"/>
        <w:rPr>
          <w:szCs w:val="22"/>
        </w:rPr>
      </w:pPr>
      <w:r>
        <w:rPr>
          <w:rFonts w:hint="eastAsia"/>
          <w:szCs w:val="22"/>
        </w:rPr>
        <w:t xml:space="preserve">For the case of </w:t>
      </w:r>
      <w:r>
        <w:rPr>
          <w:rFonts w:hint="eastAsia"/>
          <w:i/>
          <w:iCs/>
          <w:szCs w:val="22"/>
        </w:rPr>
        <w:t>N</w:t>
      </w:r>
      <w:r>
        <w:rPr>
          <w:rFonts w:hint="eastAsia"/>
          <w:szCs w:val="22"/>
        </w:rPr>
        <w:t xml:space="preserve"> &gt; 1, PSFCH resources are allocated in one slot per </w:t>
      </w:r>
      <w:r>
        <w:rPr>
          <w:rFonts w:hint="eastAsia"/>
          <w:i/>
          <w:iCs/>
          <w:szCs w:val="22"/>
        </w:rPr>
        <w:t xml:space="preserve">N </w:t>
      </w:r>
      <w:r>
        <w:rPr>
          <w:rFonts w:hint="eastAsia"/>
          <w:szCs w:val="22"/>
        </w:rPr>
        <w:t xml:space="preserve">slots, i.e. there are some slots do not contain PSFCH resources in sidelink resource pool.  While PSCCH/PSSCH is transmitted in every sidelink slot, it leads to N-to-one mapping relationship between PSSCH and corresponding PFSCH resources in time domain which introduce extra latency and more complexity.  Obviously, it cannot reuse the same scheme of the case with </w:t>
      </w:r>
      <w:r>
        <w:rPr>
          <w:rFonts w:hint="eastAsia"/>
          <w:i/>
          <w:iCs/>
          <w:szCs w:val="22"/>
        </w:rPr>
        <w:t xml:space="preserve">N </w:t>
      </w:r>
      <w:r>
        <w:rPr>
          <w:rFonts w:hint="eastAsia"/>
          <w:szCs w:val="22"/>
        </w:rPr>
        <w:t xml:space="preserve">= 1, i.e. additional design and standard discussion are needed to support the case of </w:t>
      </w:r>
      <w:r>
        <w:rPr>
          <w:rFonts w:hint="eastAsia"/>
          <w:i/>
          <w:iCs/>
          <w:szCs w:val="22"/>
        </w:rPr>
        <w:t>N</w:t>
      </w:r>
      <w:r>
        <w:rPr>
          <w:rFonts w:hint="eastAsia"/>
          <w:szCs w:val="22"/>
        </w:rPr>
        <w:t xml:space="preserve"> &gt; 1.</w:t>
      </w:r>
    </w:p>
    <w:p w:rsidR="00650448" w:rsidRDefault="00371FC3">
      <w:pPr>
        <w:spacing w:before="120" w:after="120"/>
        <w:rPr>
          <w:szCs w:val="22"/>
        </w:rPr>
      </w:pPr>
      <w:r>
        <w:rPr>
          <w:rFonts w:hint="eastAsia"/>
          <w:szCs w:val="22"/>
        </w:rPr>
        <w:t xml:space="preserve">There is an exceptional scenario for </w:t>
      </w:r>
      <w:r>
        <w:rPr>
          <w:rFonts w:hint="eastAsia"/>
          <w:i/>
          <w:iCs/>
          <w:szCs w:val="22"/>
        </w:rPr>
        <w:t>N</w:t>
      </w:r>
      <w:r>
        <w:rPr>
          <w:rFonts w:hint="eastAsia"/>
          <w:szCs w:val="22"/>
        </w:rPr>
        <w:t xml:space="preserve"> &gt; 1 which can maintain the one-to-one mapping rule for PSSCH and PSFCH.  It is for the scenario that slots aggregation is configured for PSSCH, i.e. each </w:t>
      </w:r>
      <w:r>
        <w:rPr>
          <w:rFonts w:hint="eastAsia"/>
          <w:i/>
          <w:iCs/>
          <w:szCs w:val="22"/>
        </w:rPr>
        <w:t>M</w:t>
      </w:r>
      <w:r>
        <w:rPr>
          <w:rFonts w:hint="eastAsia"/>
          <w:szCs w:val="22"/>
        </w:rPr>
        <w:t xml:space="preserve"> slots are bundled as one PSSCH resource to carry sidelink data.  With an assumption that </w:t>
      </w:r>
      <w:r>
        <w:rPr>
          <w:rFonts w:hint="eastAsia"/>
          <w:i/>
          <w:iCs/>
          <w:szCs w:val="22"/>
        </w:rPr>
        <w:t xml:space="preserve">N = M, </w:t>
      </w:r>
      <w:r>
        <w:rPr>
          <w:rFonts w:hint="eastAsia"/>
          <w:szCs w:val="22"/>
        </w:rPr>
        <w:t xml:space="preserve">PSSCH resources and relevant PSFCH resources still keep one-to-one mapping in time domain and the same scheme of the case with </w:t>
      </w:r>
      <w:r>
        <w:rPr>
          <w:rFonts w:hint="eastAsia"/>
          <w:i/>
          <w:iCs/>
          <w:szCs w:val="22"/>
        </w:rPr>
        <w:t xml:space="preserve">N </w:t>
      </w:r>
      <w:r>
        <w:rPr>
          <w:rFonts w:hint="eastAsia"/>
          <w:szCs w:val="22"/>
        </w:rPr>
        <w:t xml:space="preserve">= 1 can be reused without extra modification. An example is shown </w:t>
      </w:r>
      <w:r>
        <w:rPr>
          <w:szCs w:val="22"/>
        </w:rPr>
        <w:t xml:space="preserve">in </w:t>
      </w:r>
      <w:r>
        <w:rPr>
          <w:rFonts w:hint="eastAsia"/>
          <w:szCs w:val="22"/>
        </w:rPr>
        <w:fldChar w:fldCharType="begin"/>
      </w:r>
      <w:r>
        <w:rPr>
          <w:rFonts w:hint="eastAsia"/>
          <w:szCs w:val="22"/>
        </w:rPr>
        <w:instrText xml:space="preserve"> REF _Ref1559 \h </w:instrText>
      </w:r>
      <w:r>
        <w:rPr>
          <w:rFonts w:hint="eastAsia"/>
          <w:szCs w:val="22"/>
        </w:rPr>
      </w:r>
      <w:r>
        <w:rPr>
          <w:rFonts w:hint="eastAsia"/>
          <w:szCs w:val="22"/>
        </w:rPr>
        <w:fldChar w:fldCharType="separate"/>
      </w:r>
      <w:r>
        <w:rPr>
          <w:bCs/>
        </w:rPr>
        <w:t>Figure 6</w:t>
      </w:r>
      <w:r>
        <w:rPr>
          <w:rFonts w:hint="eastAsia"/>
          <w:szCs w:val="22"/>
        </w:rPr>
        <w:fldChar w:fldCharType="end"/>
      </w:r>
      <w:r>
        <w:rPr>
          <w:rFonts w:hint="eastAsia"/>
          <w:szCs w:val="22"/>
        </w:rPr>
        <w:t xml:space="preserve"> with</w:t>
      </w:r>
      <w:r>
        <w:rPr>
          <w:rFonts w:hint="eastAsia"/>
          <w:i/>
          <w:iCs/>
          <w:szCs w:val="22"/>
        </w:rPr>
        <w:t xml:space="preserve"> N = M </w:t>
      </w:r>
      <w:r>
        <w:rPr>
          <w:rFonts w:hint="eastAsia"/>
          <w:szCs w:val="22"/>
        </w:rPr>
        <w:t>= 2.</w:t>
      </w:r>
    </w:p>
    <w:p w:rsidR="00650448" w:rsidRDefault="00371FC3">
      <w:pPr>
        <w:spacing w:before="120" w:after="120"/>
        <w:jc w:val="center"/>
        <w:rPr>
          <w:szCs w:val="22"/>
        </w:rPr>
      </w:pPr>
      <w:r>
        <w:rPr>
          <w:rFonts w:hint="eastAsia"/>
          <w:noProof/>
          <w:szCs w:val="22"/>
        </w:rPr>
        <w:drawing>
          <wp:inline distT="0" distB="0" distL="114300" distR="114300">
            <wp:extent cx="4482465" cy="1175385"/>
            <wp:effectExtent l="0" t="0" r="13335" b="5715"/>
            <wp:docPr id="14" name="图片 14" descr="N 大于 1 PSF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N 大于 1 PSFCH"/>
                    <pic:cNvPicPr>
                      <a:picLocks noChangeAspect="1"/>
                    </pic:cNvPicPr>
                  </pic:nvPicPr>
                  <pic:blipFill>
                    <a:blip r:embed="rId14"/>
                    <a:stretch>
                      <a:fillRect/>
                    </a:stretch>
                  </pic:blipFill>
                  <pic:spPr>
                    <a:xfrm>
                      <a:off x="0" y="0"/>
                      <a:ext cx="4482465" cy="1175385"/>
                    </a:xfrm>
                    <a:prstGeom prst="rect">
                      <a:avLst/>
                    </a:prstGeom>
                  </pic:spPr>
                </pic:pic>
              </a:graphicData>
            </a:graphic>
          </wp:inline>
        </w:drawing>
      </w:r>
    </w:p>
    <w:p w:rsidR="00650448" w:rsidRDefault="00371FC3">
      <w:pPr>
        <w:pStyle w:val="Caption"/>
        <w:jc w:val="center"/>
        <w:rPr>
          <w:b w:val="0"/>
          <w:bCs/>
          <w:szCs w:val="22"/>
        </w:rPr>
      </w:pPr>
      <w:bookmarkStart w:id="32" w:name="_Ref1559"/>
      <w:r>
        <w:rPr>
          <w:b w:val="0"/>
          <w:bCs/>
        </w:rPr>
        <w:t xml:space="preserve">Figure </w:t>
      </w:r>
      <w:r>
        <w:rPr>
          <w:b w:val="0"/>
          <w:bCs/>
        </w:rPr>
        <w:fldChar w:fldCharType="begin"/>
      </w:r>
      <w:r>
        <w:rPr>
          <w:b w:val="0"/>
          <w:bCs/>
        </w:rPr>
        <w:instrText xml:space="preserve"> SEQ Figure \* ARABIC </w:instrText>
      </w:r>
      <w:r>
        <w:rPr>
          <w:b w:val="0"/>
          <w:bCs/>
        </w:rPr>
        <w:fldChar w:fldCharType="separate"/>
      </w:r>
      <w:r>
        <w:rPr>
          <w:b w:val="0"/>
          <w:bCs/>
        </w:rPr>
        <w:t>6</w:t>
      </w:r>
      <w:r>
        <w:rPr>
          <w:b w:val="0"/>
          <w:bCs/>
        </w:rPr>
        <w:fldChar w:fldCharType="end"/>
      </w:r>
      <w:bookmarkEnd w:id="32"/>
      <w:r>
        <w:rPr>
          <w:rFonts w:hint="eastAsia"/>
          <w:b w:val="0"/>
          <w:bCs/>
        </w:rPr>
        <w:t xml:space="preserve"> </w:t>
      </w:r>
      <w:r>
        <w:rPr>
          <w:rFonts w:hint="eastAsia"/>
          <w:b w:val="0"/>
          <w:bCs/>
          <w:i/>
          <w:iCs/>
        </w:rPr>
        <w:t xml:space="preserve">N </w:t>
      </w:r>
      <w:r>
        <w:rPr>
          <w:rFonts w:hint="eastAsia"/>
          <w:b w:val="0"/>
          <w:bCs/>
        </w:rPr>
        <w:t>= 2 for PSFCH resource allocation</w:t>
      </w:r>
    </w:p>
    <w:p w:rsidR="00650448" w:rsidRDefault="00371FC3">
      <w:pPr>
        <w:pStyle w:val="YJ-Proposal"/>
        <w:spacing w:before="120" w:after="120"/>
        <w:rPr>
          <w:szCs w:val="22"/>
          <w:lang w:val="en-US" w:eastAsia="zh-CN"/>
        </w:rPr>
      </w:pPr>
      <w:bookmarkStart w:id="33" w:name="_Toc7752398"/>
      <w:r>
        <w:rPr>
          <w:rFonts w:hint="eastAsia"/>
          <w:szCs w:val="22"/>
          <w:lang w:val="en-US" w:eastAsia="zh-CN"/>
        </w:rPr>
        <w:t xml:space="preserve">PSFCH allocation period N &gt; 1 is supported </w:t>
      </w:r>
      <w:r>
        <w:rPr>
          <w:szCs w:val="22"/>
          <w:lang w:val="en-US" w:eastAsia="zh-CN"/>
        </w:rPr>
        <w:t>only together with</w:t>
      </w:r>
      <w:r>
        <w:rPr>
          <w:rFonts w:hint="eastAsia"/>
          <w:szCs w:val="22"/>
          <w:lang w:val="en-US" w:eastAsia="zh-CN"/>
        </w:rPr>
        <w:t xml:space="preserve"> slot aggregation, where N equals to the slot aggregation size.</w:t>
      </w:r>
      <w:bookmarkEnd w:id="33"/>
    </w:p>
    <w:p w:rsidR="00650448" w:rsidRDefault="00371FC3">
      <w:pPr>
        <w:pStyle w:val="Heading3"/>
        <w:spacing w:after="120"/>
        <w:ind w:right="200"/>
        <w:rPr>
          <w:szCs w:val="22"/>
        </w:rPr>
      </w:pPr>
      <w:r>
        <w:rPr>
          <w:rFonts w:hint="eastAsia"/>
          <w:szCs w:val="22"/>
        </w:rPr>
        <w:t xml:space="preserve">PSSCH </w:t>
      </w:r>
    </w:p>
    <w:p w:rsidR="00650448" w:rsidRDefault="00371FC3">
      <w:pPr>
        <w:spacing w:before="120" w:after="120"/>
        <w:rPr>
          <w:bCs/>
        </w:rPr>
      </w:pPr>
      <w:r>
        <w:rPr>
          <w:rFonts w:hint="eastAsia"/>
          <w:bCs/>
        </w:rPr>
        <w:t xml:space="preserve">Similar </w:t>
      </w:r>
      <w:r>
        <w:rPr>
          <w:bCs/>
        </w:rPr>
        <w:t>to</w:t>
      </w:r>
      <w:r>
        <w:rPr>
          <w:rFonts w:hint="eastAsia"/>
          <w:bCs/>
        </w:rPr>
        <w:t xml:space="preserve"> PSCCH, AGC training time should be included in the symbols for data transmitting and no dedicated symbol is needed, i.e.,</w:t>
      </w:r>
      <w:r>
        <w:rPr>
          <w:bCs/>
        </w:rPr>
        <w:t xml:space="preserve"> </w:t>
      </w:r>
      <w:r>
        <w:rPr>
          <w:rFonts w:hint="eastAsia"/>
          <w:bCs/>
        </w:rPr>
        <w:t>PSSCH resources start</w:t>
      </w:r>
      <w:r>
        <w:rPr>
          <w:bCs/>
        </w:rPr>
        <w:t>s</w:t>
      </w:r>
      <w:r>
        <w:rPr>
          <w:rFonts w:hint="eastAsia"/>
          <w:bCs/>
        </w:rPr>
        <w:t xml:space="preserve"> from the first sidelink symbol in a slot.</w:t>
      </w:r>
    </w:p>
    <w:p w:rsidR="00650448" w:rsidRDefault="00371FC3">
      <w:pPr>
        <w:pStyle w:val="YJ-Proposal"/>
        <w:spacing w:before="120" w:after="120"/>
        <w:rPr>
          <w:rFonts w:eastAsia="SimSun"/>
          <w:szCs w:val="22"/>
          <w:lang w:val="en-US" w:eastAsia="zh-CN"/>
        </w:rPr>
      </w:pPr>
      <w:bookmarkStart w:id="34" w:name="_Toc7752399"/>
      <w:r>
        <w:rPr>
          <w:rFonts w:eastAsia="SimSun" w:hint="eastAsia"/>
          <w:szCs w:val="22"/>
          <w:lang w:val="en-US" w:eastAsia="zh-CN"/>
        </w:rPr>
        <w:t>In time domain, a PSSCH resource starts from the first sidelink symbol within a slot.</w:t>
      </w:r>
      <w:bookmarkEnd w:id="34"/>
      <w:r>
        <w:rPr>
          <w:rFonts w:eastAsia="SimSun" w:hint="eastAsia"/>
          <w:szCs w:val="22"/>
          <w:lang w:val="en-US" w:eastAsia="zh-CN"/>
        </w:rPr>
        <w:t xml:space="preserve"> </w:t>
      </w:r>
    </w:p>
    <w:p w:rsidR="00650448" w:rsidRDefault="00371FC3">
      <w:pPr>
        <w:spacing w:before="120" w:after="120"/>
      </w:pPr>
      <w:r>
        <w:rPr>
          <w:rFonts w:hint="eastAsia"/>
          <w:bCs/>
        </w:rPr>
        <w:t xml:space="preserve">On sidelink, between every PSCCH/PSSCH transmission occasion, AGC training and potential switching between transmitting and receiving cause certain resource overhead in time domain.  In other words, the smaller a </w:t>
      </w:r>
      <w:r>
        <w:rPr>
          <w:rFonts w:hint="eastAsia"/>
          <w:bCs/>
        </w:rPr>
        <w:lastRenderedPageBreak/>
        <w:t>PSCCH/PSSCH resource unit defined in time domain, the more resources consumed for AGC and switching GP.  Therefore, slot level resource (including the case that subset of symbols assigned for sidelink in one slot) should be considered as the minimum time domain unit for PSCCH/PSSCH resources allocation, i.e. more than one PSSCH resource TDM within one slot should not be supported.</w:t>
      </w:r>
    </w:p>
    <w:p w:rsidR="00650448" w:rsidRDefault="00371FC3">
      <w:pPr>
        <w:pStyle w:val="YJ-Proposal"/>
        <w:spacing w:before="120" w:after="120"/>
        <w:rPr>
          <w:szCs w:val="22"/>
          <w:lang w:val="en-US" w:eastAsia="zh-CN"/>
        </w:rPr>
      </w:pPr>
      <w:bookmarkStart w:id="35" w:name="_Toc7752400"/>
      <w:r>
        <w:rPr>
          <w:rFonts w:eastAsia="SimSun" w:hint="eastAsia"/>
          <w:szCs w:val="22"/>
          <w:lang w:val="en-US" w:eastAsia="zh-CN"/>
        </w:rPr>
        <w:t xml:space="preserve">Within a resource pool, do not support </w:t>
      </w:r>
      <w:r>
        <w:rPr>
          <w:rFonts w:eastAsia="SimSun"/>
          <w:szCs w:val="22"/>
          <w:lang w:val="en-US" w:eastAsia="zh-CN"/>
        </w:rPr>
        <w:t>time multiplex</w:t>
      </w:r>
      <w:r>
        <w:rPr>
          <w:rFonts w:eastAsia="SimSun" w:hint="eastAsia"/>
          <w:szCs w:val="22"/>
          <w:lang w:val="en-US" w:eastAsia="zh-CN"/>
        </w:rPr>
        <w:t xml:space="preserve"> </w:t>
      </w:r>
      <w:r>
        <w:rPr>
          <w:rFonts w:eastAsia="SimSun"/>
          <w:szCs w:val="22"/>
          <w:lang w:val="en-US" w:eastAsia="zh-CN"/>
        </w:rPr>
        <w:t xml:space="preserve">of </w:t>
      </w:r>
      <w:r>
        <w:rPr>
          <w:rFonts w:eastAsia="SimSun" w:hint="eastAsia"/>
          <w:szCs w:val="22"/>
          <w:lang w:val="en-US" w:eastAsia="zh-CN"/>
        </w:rPr>
        <w:t xml:space="preserve">more </w:t>
      </w:r>
      <w:r>
        <w:rPr>
          <w:rFonts w:eastAsia="SimSun"/>
          <w:szCs w:val="22"/>
          <w:lang w:val="en-US" w:eastAsia="zh-CN"/>
        </w:rPr>
        <w:t xml:space="preserve">than one </w:t>
      </w:r>
      <w:r>
        <w:rPr>
          <w:rFonts w:eastAsia="SimSun" w:hint="eastAsia"/>
          <w:szCs w:val="22"/>
          <w:lang w:val="en-US" w:eastAsia="zh-CN"/>
        </w:rPr>
        <w:t>PSSCH resources within one slot.</w:t>
      </w:r>
      <w:bookmarkEnd w:id="35"/>
      <w:r>
        <w:rPr>
          <w:rFonts w:eastAsia="SimSun" w:hint="eastAsia"/>
          <w:szCs w:val="22"/>
          <w:lang w:val="en-US" w:eastAsia="zh-CN"/>
        </w:rPr>
        <w:t xml:space="preserve"> </w:t>
      </w:r>
    </w:p>
    <w:p w:rsidR="00650448" w:rsidRDefault="00371FC3">
      <w:pPr>
        <w:pStyle w:val="Heading2"/>
        <w:spacing w:before="120" w:after="120"/>
        <w:ind w:left="991" w:right="200" w:hangingChars="354" w:hanging="991"/>
        <w:rPr>
          <w:szCs w:val="22"/>
        </w:rPr>
      </w:pPr>
      <w:bookmarkStart w:id="36" w:name="_Toc939"/>
      <w:bookmarkStart w:id="37" w:name="_Toc6764"/>
      <w:bookmarkStart w:id="38" w:name="_Toc24792"/>
      <w:bookmarkEnd w:id="36"/>
      <w:bookmarkEnd w:id="37"/>
      <w:bookmarkEnd w:id="38"/>
      <w:r>
        <w:rPr>
          <w:rFonts w:hint="eastAsia"/>
          <w:szCs w:val="22"/>
        </w:rPr>
        <w:t xml:space="preserve">DMRS </w:t>
      </w:r>
    </w:p>
    <w:p w:rsidR="00650448" w:rsidRDefault="00371FC3">
      <w:pPr>
        <w:pStyle w:val="Heading3"/>
        <w:spacing w:after="120"/>
        <w:ind w:right="200"/>
      </w:pPr>
      <w:r>
        <w:rPr>
          <w:rFonts w:hint="eastAsia"/>
        </w:rPr>
        <w:t>DMRS for PSCCH</w:t>
      </w:r>
    </w:p>
    <w:p w:rsidR="00650448" w:rsidRDefault="00371FC3">
      <w:pPr>
        <w:spacing w:before="120" w:after="120"/>
        <w:rPr>
          <w:szCs w:val="22"/>
        </w:rPr>
      </w:pPr>
      <w:r>
        <w:rPr>
          <w:rFonts w:hint="eastAsia"/>
          <w:szCs w:val="22"/>
        </w:rPr>
        <w:t xml:space="preserve">In order to simplify the blind detecting of PSCCH, the DMRS of PSCCH should be known to receiving UEs. Based on a fixed PSCCH resource unit, a fixed DMRS pattern for PSCCH can be defined, including the number and position of DMRS REs within a PSCCH resource unit. Further details of PSCCH DMRS should be determined when </w:t>
      </w:r>
      <w:r>
        <w:rPr>
          <w:szCs w:val="22"/>
        </w:rPr>
        <w:t xml:space="preserve">RAN1 progresses on </w:t>
      </w:r>
      <w:r>
        <w:rPr>
          <w:rFonts w:hint="eastAsia"/>
          <w:szCs w:val="22"/>
        </w:rPr>
        <w:t>the PSCCH resource scheme.</w:t>
      </w:r>
    </w:p>
    <w:p w:rsidR="00650448" w:rsidRDefault="00371FC3">
      <w:pPr>
        <w:pStyle w:val="YJ-Proposal"/>
        <w:spacing w:before="120" w:after="120"/>
        <w:rPr>
          <w:szCs w:val="22"/>
          <w:lang w:val="en-US" w:eastAsia="zh-CN"/>
        </w:rPr>
      </w:pPr>
      <w:bookmarkStart w:id="39" w:name="_Toc7752401"/>
      <w:r>
        <w:rPr>
          <w:rFonts w:hint="eastAsia"/>
          <w:szCs w:val="22"/>
          <w:lang w:val="en-US" w:eastAsia="zh-CN"/>
        </w:rPr>
        <w:t xml:space="preserve">Fixed DMRS pattern should be defined </w:t>
      </w:r>
      <w:r>
        <w:rPr>
          <w:szCs w:val="22"/>
          <w:lang w:val="en-US" w:eastAsia="zh-CN"/>
        </w:rPr>
        <w:t>within</w:t>
      </w:r>
      <w:r>
        <w:rPr>
          <w:rFonts w:hint="eastAsia"/>
          <w:szCs w:val="22"/>
          <w:lang w:val="en-US" w:eastAsia="zh-CN"/>
        </w:rPr>
        <w:t xml:space="preserve"> PSCCH resource unit.</w:t>
      </w:r>
      <w:bookmarkEnd w:id="39"/>
    </w:p>
    <w:p w:rsidR="00650448" w:rsidRDefault="00371FC3">
      <w:pPr>
        <w:pStyle w:val="Heading3"/>
        <w:spacing w:after="120"/>
        <w:ind w:right="200"/>
      </w:pPr>
      <w:r>
        <w:rPr>
          <w:rFonts w:hint="eastAsia"/>
        </w:rPr>
        <w:t>DMRS for PSSCH</w:t>
      </w:r>
    </w:p>
    <w:p w:rsidR="00650448" w:rsidRDefault="00371FC3">
      <w:pPr>
        <w:spacing w:before="120" w:after="120"/>
      </w:pPr>
      <w:r>
        <w:t>On NR Uu</w:t>
      </w:r>
      <w:r>
        <w:rPr>
          <w:rFonts w:hint="eastAsia"/>
        </w:rPr>
        <w:t xml:space="preserve">, </w:t>
      </w:r>
      <w:r>
        <w:t xml:space="preserve">different </w:t>
      </w:r>
      <w:r>
        <w:rPr>
          <w:rFonts w:hint="eastAsia"/>
        </w:rPr>
        <w:t xml:space="preserve">DMRS </w:t>
      </w:r>
      <w:r>
        <w:t>patterns can be</w:t>
      </w:r>
      <w:r>
        <w:rPr>
          <w:rFonts w:hint="eastAsia"/>
        </w:rPr>
        <w:t xml:space="preserve"> configured by gNB </w:t>
      </w:r>
      <w:r>
        <w:t>to be adaptive to</w:t>
      </w:r>
      <w:r>
        <w:rPr>
          <w:rFonts w:hint="eastAsia"/>
        </w:rPr>
        <w:t xml:space="preserve"> several factors, including UE speed, latency requirement, MIMO</w:t>
      </w:r>
      <w:r>
        <w:t xml:space="preserve"> scheme and</w:t>
      </w:r>
      <w:r>
        <w:rPr>
          <w:rFonts w:hint="eastAsia"/>
        </w:rPr>
        <w:t xml:space="preserve"> etc. </w:t>
      </w:r>
      <w:r>
        <w:t>The</w:t>
      </w:r>
      <w:r>
        <w:rPr>
          <w:rFonts w:hint="eastAsia"/>
        </w:rPr>
        <w:t xml:space="preserve"> full flexible DRMS patterns </w:t>
      </w:r>
      <w:r>
        <w:t>may</w:t>
      </w:r>
      <w:r>
        <w:rPr>
          <w:rFonts w:hint="eastAsia"/>
        </w:rPr>
        <w:t xml:space="preserve"> not </w:t>
      </w:r>
      <w:r>
        <w:t xml:space="preserve">be </w:t>
      </w:r>
      <w:r>
        <w:rPr>
          <w:rFonts w:hint="eastAsia"/>
        </w:rPr>
        <w:t>necessary for sidelink</w:t>
      </w:r>
      <w:r>
        <w:t xml:space="preserve"> communication, especially for sidelink broadcast. </w:t>
      </w:r>
      <w:r>
        <w:rPr>
          <w:rFonts w:hint="eastAsia"/>
        </w:rPr>
        <w:t xml:space="preserve"> Therefore</w:t>
      </w:r>
      <w:r>
        <w:t xml:space="preserve"> the</w:t>
      </w:r>
      <w:r>
        <w:rPr>
          <w:rFonts w:hint="eastAsia"/>
        </w:rPr>
        <w:t xml:space="preserve"> </w:t>
      </w:r>
      <w:r>
        <w:t>NR Uu</w:t>
      </w:r>
      <w:r>
        <w:rPr>
          <w:rFonts w:hint="eastAsia"/>
        </w:rPr>
        <w:t xml:space="preserve"> DMRS pattern</w:t>
      </w:r>
      <w:r>
        <w:t>s</w:t>
      </w:r>
      <w:r>
        <w:rPr>
          <w:rFonts w:hint="eastAsia"/>
        </w:rPr>
        <w:t xml:space="preserve"> should be down selected f</w:t>
      </w:r>
      <w:r>
        <w:t>or</w:t>
      </w:r>
      <w:r>
        <w:rPr>
          <w:rFonts w:hint="eastAsia"/>
        </w:rPr>
        <w:t xml:space="preserve"> the </w:t>
      </w:r>
      <w:r>
        <w:t>sidelink</w:t>
      </w:r>
      <w:r>
        <w:rPr>
          <w:rFonts w:hint="eastAsia"/>
        </w:rPr>
        <w:t xml:space="preserve"> DMRS. From the perspective of UE implementation, reusing NR PUSCH DMRS scheme should be considered as starting point for PSSCH DMRS design. </w:t>
      </w:r>
    </w:p>
    <w:p w:rsidR="00650448" w:rsidRDefault="00371FC3">
      <w:pPr>
        <w:spacing w:before="120" w:after="120"/>
      </w:pPr>
      <w:r>
        <w:rPr>
          <w:rFonts w:hint="eastAsia"/>
        </w:rPr>
        <w:t xml:space="preserve">For PSSCH DMRS, the following issues should be considered: </w:t>
      </w:r>
    </w:p>
    <w:p w:rsidR="00650448" w:rsidRDefault="00371FC3">
      <w:pPr>
        <w:pStyle w:val="ListParagraph"/>
        <w:numPr>
          <w:ilvl w:val="0"/>
          <w:numId w:val="9"/>
        </w:numPr>
        <w:spacing w:before="120" w:after="120"/>
        <w:rPr>
          <w:sz w:val="20"/>
          <w:szCs w:val="20"/>
        </w:rPr>
      </w:pPr>
      <w:r>
        <w:rPr>
          <w:sz w:val="20"/>
          <w:szCs w:val="20"/>
        </w:rPr>
        <w:t xml:space="preserve">In time </w:t>
      </w:r>
      <w:r>
        <w:rPr>
          <w:rFonts w:eastAsia="SimSun"/>
          <w:sz w:val="20"/>
          <w:szCs w:val="20"/>
        </w:rPr>
        <w:t xml:space="preserve">domain </w:t>
      </w:r>
    </w:p>
    <w:p w:rsidR="00650448" w:rsidRDefault="00371FC3">
      <w:pPr>
        <w:pStyle w:val="ListParagraph"/>
        <w:numPr>
          <w:ilvl w:val="1"/>
          <w:numId w:val="9"/>
        </w:numPr>
        <w:spacing w:before="120" w:after="120"/>
        <w:rPr>
          <w:sz w:val="20"/>
          <w:szCs w:val="20"/>
        </w:rPr>
      </w:pPr>
      <w:r>
        <w:rPr>
          <w:rFonts w:hint="eastAsia"/>
          <w:sz w:val="20"/>
          <w:szCs w:val="20"/>
        </w:rPr>
        <w:t>whether additional DMRS symbol is needed,  and if yes the available number of additional symbols;</w:t>
      </w:r>
    </w:p>
    <w:p w:rsidR="00650448" w:rsidRDefault="00371FC3">
      <w:pPr>
        <w:pStyle w:val="ListParagraph"/>
        <w:numPr>
          <w:ilvl w:val="1"/>
          <w:numId w:val="9"/>
        </w:numPr>
        <w:spacing w:before="120" w:after="120"/>
        <w:rPr>
          <w:sz w:val="20"/>
          <w:szCs w:val="20"/>
        </w:rPr>
      </w:pPr>
      <w:r>
        <w:rPr>
          <w:rFonts w:hint="eastAsia"/>
          <w:sz w:val="20"/>
          <w:szCs w:val="20"/>
        </w:rPr>
        <w:t>whether double-symbol DMRS should be supported</w:t>
      </w:r>
      <w:r>
        <w:rPr>
          <w:sz w:val="20"/>
          <w:szCs w:val="20"/>
        </w:rPr>
        <w:t>.</w:t>
      </w:r>
    </w:p>
    <w:p w:rsidR="00650448" w:rsidRDefault="00371FC3">
      <w:pPr>
        <w:pStyle w:val="ListParagraph"/>
        <w:numPr>
          <w:ilvl w:val="0"/>
          <w:numId w:val="8"/>
        </w:numPr>
        <w:spacing w:before="120" w:after="120"/>
        <w:rPr>
          <w:sz w:val="20"/>
          <w:szCs w:val="20"/>
        </w:rPr>
      </w:pPr>
      <w:r>
        <w:rPr>
          <w:sz w:val="20"/>
          <w:szCs w:val="20"/>
        </w:rPr>
        <w:t>I</w:t>
      </w:r>
      <w:r>
        <w:rPr>
          <w:rFonts w:hint="eastAsia"/>
          <w:sz w:val="20"/>
          <w:szCs w:val="20"/>
        </w:rPr>
        <w:t xml:space="preserve">n </w:t>
      </w:r>
      <w:r>
        <w:rPr>
          <w:sz w:val="20"/>
          <w:szCs w:val="20"/>
        </w:rPr>
        <w:t xml:space="preserve">frequency </w:t>
      </w:r>
      <w:r>
        <w:rPr>
          <w:rFonts w:hint="eastAsia"/>
          <w:sz w:val="20"/>
          <w:szCs w:val="20"/>
        </w:rPr>
        <w:t>domain</w:t>
      </w:r>
    </w:p>
    <w:p w:rsidR="00650448" w:rsidRDefault="00371FC3">
      <w:pPr>
        <w:pStyle w:val="ListParagraph"/>
        <w:numPr>
          <w:ilvl w:val="1"/>
          <w:numId w:val="9"/>
        </w:numPr>
        <w:spacing w:before="120" w:after="120"/>
        <w:rPr>
          <w:sz w:val="20"/>
          <w:szCs w:val="20"/>
        </w:rPr>
      </w:pPr>
      <w:r>
        <w:rPr>
          <w:rFonts w:hint="eastAsia"/>
          <w:sz w:val="20"/>
          <w:szCs w:val="20"/>
        </w:rPr>
        <w:t>whether both configuration type 1 and type 2 of DMRS should be supported</w:t>
      </w:r>
      <w:r>
        <w:rPr>
          <w:sz w:val="20"/>
          <w:szCs w:val="20"/>
        </w:rPr>
        <w:t>.</w:t>
      </w:r>
    </w:p>
    <w:p w:rsidR="00650448" w:rsidRDefault="00371FC3">
      <w:pPr>
        <w:spacing w:before="120" w:after="120"/>
      </w:pPr>
      <w:r>
        <w:rPr>
          <w:rFonts w:hint="eastAsia"/>
        </w:rPr>
        <w:t>At least for sidelink broadcast communication, the relative speed between Tx UE and multiple Rx UEs may be high.  Therefore, the additional DMRS should be used to provide extra channel estimate benefit.  The available number of additional DMRS should be configured or determined according to the symbols configured for sidelink within a slot.</w:t>
      </w:r>
    </w:p>
    <w:p w:rsidR="00650448" w:rsidRDefault="00371FC3">
      <w:pPr>
        <w:spacing w:before="120" w:after="120"/>
      </w:pPr>
      <w:r>
        <w:rPr>
          <w:rFonts w:hint="eastAsia"/>
        </w:rPr>
        <w:t>Since the double-symbol DRMS and configuration type 2 mainly aim to MIMO usage</w:t>
      </w:r>
      <w:r>
        <w:t>,</w:t>
      </w:r>
      <w:r>
        <w:rPr>
          <w:rFonts w:hint="eastAsia"/>
        </w:rPr>
        <w:t xml:space="preserve"> </w:t>
      </w:r>
      <w:r>
        <w:t>they</w:t>
      </w:r>
      <w:r>
        <w:rPr>
          <w:rFonts w:hint="eastAsia"/>
        </w:rPr>
        <w:t xml:space="preserve"> </w:t>
      </w:r>
      <w:r>
        <w:t>are</w:t>
      </w:r>
      <w:r>
        <w:rPr>
          <w:rFonts w:hint="eastAsia"/>
        </w:rPr>
        <w:t xml:space="preserve"> less </w:t>
      </w:r>
      <w:r>
        <w:t>essential</w:t>
      </w:r>
      <w:r>
        <w:rPr>
          <w:rFonts w:hint="eastAsia"/>
        </w:rPr>
        <w:t xml:space="preserve"> on sidelink data transmission</w:t>
      </w:r>
      <w:r>
        <w:t>.</w:t>
      </w:r>
      <w:r>
        <w:rPr>
          <w:rFonts w:hint="eastAsia"/>
        </w:rPr>
        <w:t xml:space="preserve"> </w:t>
      </w:r>
    </w:p>
    <w:p w:rsidR="00650448" w:rsidRDefault="00371FC3">
      <w:pPr>
        <w:pStyle w:val="YJ-Proposal"/>
        <w:spacing w:before="120" w:after="120"/>
        <w:rPr>
          <w:lang w:val="en-US" w:eastAsia="zh-CN"/>
        </w:rPr>
      </w:pPr>
      <w:bookmarkStart w:id="40" w:name="_Ref2613"/>
      <w:bookmarkStart w:id="41" w:name="_Toc7752402"/>
      <w:r>
        <w:rPr>
          <w:rFonts w:eastAsia="SimSun" w:hint="eastAsia"/>
          <w:szCs w:val="22"/>
          <w:lang w:val="en-US" w:eastAsia="zh-CN"/>
        </w:rPr>
        <w:t xml:space="preserve">For PSSCH, additional </w:t>
      </w:r>
      <w:r>
        <w:rPr>
          <w:rFonts w:hint="eastAsia"/>
          <w:lang w:val="en-US" w:eastAsia="zh-CN"/>
        </w:rPr>
        <w:t>DMRS should be used at least for broadcast communication.</w:t>
      </w:r>
      <w:bookmarkEnd w:id="40"/>
      <w:bookmarkEnd w:id="41"/>
    </w:p>
    <w:p w:rsidR="00650448" w:rsidRDefault="00371FC3">
      <w:pPr>
        <w:pStyle w:val="YJ-Proposal"/>
        <w:spacing w:before="120" w:after="120"/>
        <w:rPr>
          <w:lang w:val="en-US" w:eastAsia="zh-CN"/>
        </w:rPr>
      </w:pPr>
      <w:bookmarkStart w:id="42" w:name="_Ref2642"/>
      <w:bookmarkStart w:id="43" w:name="_Toc7752403"/>
      <w:r>
        <w:rPr>
          <w:rFonts w:eastAsia="SimSun" w:hint="eastAsia"/>
          <w:szCs w:val="22"/>
          <w:lang w:val="en-US" w:eastAsia="zh-CN"/>
        </w:rPr>
        <w:t>For PSSCH, double</w:t>
      </w:r>
      <w:r>
        <w:rPr>
          <w:rFonts w:hint="eastAsia"/>
          <w:lang w:val="en-US" w:eastAsia="zh-CN"/>
        </w:rPr>
        <w:t>-symbol DMRS is not supported.</w:t>
      </w:r>
      <w:bookmarkEnd w:id="42"/>
      <w:bookmarkEnd w:id="43"/>
    </w:p>
    <w:p w:rsidR="00650448" w:rsidRDefault="00371FC3">
      <w:pPr>
        <w:pStyle w:val="YJ-Proposal"/>
        <w:spacing w:before="120" w:after="120"/>
        <w:rPr>
          <w:lang w:val="en-US" w:eastAsia="zh-CN"/>
        </w:rPr>
      </w:pPr>
      <w:bookmarkStart w:id="44" w:name="_Ref2648"/>
      <w:bookmarkStart w:id="45" w:name="_Toc7752404"/>
      <w:r>
        <w:rPr>
          <w:rFonts w:eastAsia="SimSun" w:hint="eastAsia"/>
          <w:szCs w:val="22"/>
          <w:lang w:val="en-US" w:eastAsia="zh-CN"/>
        </w:rPr>
        <w:t xml:space="preserve">For PSSCH, configuration </w:t>
      </w:r>
      <w:r>
        <w:rPr>
          <w:rFonts w:hint="eastAsia"/>
          <w:lang w:val="en-US" w:eastAsia="zh-CN"/>
        </w:rPr>
        <w:t>type 2 of DMRS is not supported.</w:t>
      </w:r>
      <w:bookmarkEnd w:id="44"/>
      <w:bookmarkEnd w:id="45"/>
    </w:p>
    <w:p w:rsidR="00650448" w:rsidRDefault="00371FC3">
      <w:pPr>
        <w:spacing w:before="120" w:after="120"/>
      </w:pPr>
      <w:r>
        <w:rPr>
          <w:rFonts w:hint="eastAsia"/>
        </w:rPr>
        <w:t xml:space="preserve">As different SCS may require different DMRS density in time domain, i.e. number and the position of DMRS symbols within a slot, SCS assigned for SL BWP should be considered for DMRS pattern configuration. Further, </w:t>
      </w:r>
      <w:r w:rsidR="005538B1">
        <w:rPr>
          <w:rFonts w:hint="eastAsia"/>
        </w:rPr>
        <w:t>because</w:t>
      </w:r>
      <w:r>
        <w:rPr>
          <w:rFonts w:hint="eastAsia"/>
        </w:rPr>
        <w:t xml:space="preserve"> different services or scenarios may require different performance</w:t>
      </w:r>
      <w:r w:rsidR="005538B1">
        <w:t>s</w:t>
      </w:r>
      <w:r>
        <w:rPr>
          <w:rFonts w:hint="eastAsia"/>
        </w:rPr>
        <w:t>, a couple of DMRS patterns may be defined for a single SCS on sidelink.</w:t>
      </w:r>
    </w:p>
    <w:p w:rsidR="00650448" w:rsidRDefault="00371FC3">
      <w:pPr>
        <w:spacing w:before="120" w:after="120"/>
      </w:pPr>
      <w:r>
        <w:rPr>
          <w:rFonts w:hint="eastAsia"/>
        </w:rPr>
        <w:t xml:space="preserve">Another </w:t>
      </w:r>
      <w:r>
        <w:t>issue</w:t>
      </w:r>
      <w:r>
        <w:rPr>
          <w:rFonts w:hint="eastAsia"/>
        </w:rPr>
        <w:t xml:space="preserve"> in the </w:t>
      </w:r>
      <w:r>
        <w:t xml:space="preserve">sidelink </w:t>
      </w:r>
      <w:r>
        <w:rPr>
          <w:rFonts w:hint="eastAsia"/>
        </w:rPr>
        <w:t>DMRS pattern discussion is the relative speed between transmitting UE and receiving UE.  The relative speed between UEs sharing the same resource pool can be various</w:t>
      </w:r>
      <w:r>
        <w:t>, from high to low</w:t>
      </w:r>
      <w:r w:rsidR="005538B1">
        <w:rPr>
          <w:rFonts w:hint="eastAsia"/>
        </w:rPr>
        <w:t xml:space="preserve">. </w:t>
      </w:r>
      <w:r>
        <w:t xml:space="preserve">For example, the relative speed of the high-speed moving UEs in </w:t>
      </w:r>
      <w:r>
        <w:rPr>
          <w:rFonts w:hint="eastAsia"/>
        </w:rPr>
        <w:t>platooning scenario</w:t>
      </w:r>
      <w:r w:rsidR="005538B1">
        <w:t xml:space="preserve"> can be low.</w:t>
      </w:r>
      <w:r>
        <w:rPr>
          <w:rFonts w:hint="eastAsia"/>
        </w:rPr>
        <w:t xml:space="preserve"> </w:t>
      </w:r>
      <w:r>
        <w:t>However</w:t>
      </w:r>
      <w:r>
        <w:rPr>
          <w:rFonts w:hint="eastAsia"/>
        </w:rPr>
        <w:t>,</w:t>
      </w:r>
      <w:r>
        <w:t xml:space="preserve"> </w:t>
      </w:r>
      <w:r>
        <w:rPr>
          <w:rFonts w:hint="eastAsia"/>
        </w:rPr>
        <w:t xml:space="preserve">a dense DMRS pattern should be sufficient for </w:t>
      </w:r>
      <w:r>
        <w:t xml:space="preserve">both high and </w:t>
      </w:r>
      <w:r w:rsidR="005538B1">
        <w:rPr>
          <w:rFonts w:hint="eastAsia"/>
        </w:rPr>
        <w:t>low relative speeds.</w:t>
      </w:r>
      <w:r>
        <w:rPr>
          <w:rFonts w:hint="eastAsia"/>
        </w:rPr>
        <w:t xml:space="preserve"> In a word, a single DMRS pattern per resource pool can satisfy the sidelink requirement</w:t>
      </w:r>
      <w:r>
        <w:t>s</w:t>
      </w:r>
      <w:r>
        <w:rPr>
          <w:rFonts w:hint="eastAsia"/>
        </w:rPr>
        <w:t xml:space="preserve"> and </w:t>
      </w:r>
      <w:r>
        <w:t xml:space="preserve">meanwhile </w:t>
      </w:r>
      <w:r>
        <w:rPr>
          <w:rFonts w:hint="eastAsia"/>
        </w:rPr>
        <w:t xml:space="preserve">avoid extra </w:t>
      </w:r>
      <w:r>
        <w:t xml:space="preserve">sidelink design </w:t>
      </w:r>
      <w:r w:rsidR="005538B1">
        <w:rPr>
          <w:rFonts w:hint="eastAsia"/>
        </w:rPr>
        <w:t>complexity.</w:t>
      </w:r>
      <w:r>
        <w:rPr>
          <w:rFonts w:hint="eastAsia"/>
        </w:rPr>
        <w:t xml:space="preserve"> Therefore, among the several available DRMS patterns, one DMRS pattern should be (pre-)configu</w:t>
      </w:r>
      <w:r w:rsidR="00A324D8">
        <w:t>r</w:t>
      </w:r>
      <w:r>
        <w:rPr>
          <w:rFonts w:hint="eastAsia"/>
        </w:rPr>
        <w:t>ed for a resource pool.</w:t>
      </w:r>
    </w:p>
    <w:p w:rsidR="00650448" w:rsidRDefault="003760D9">
      <w:pPr>
        <w:pStyle w:val="YJ-Proposal"/>
        <w:spacing w:before="120" w:after="120"/>
        <w:rPr>
          <w:szCs w:val="22"/>
          <w:lang w:val="en-US" w:eastAsia="zh-CN"/>
        </w:rPr>
      </w:pPr>
      <w:bookmarkStart w:id="46" w:name="_Ref2678"/>
      <w:bookmarkStart w:id="47" w:name="_Toc7752405"/>
      <w:r>
        <w:rPr>
          <w:szCs w:val="22"/>
          <w:lang w:val="en-US" w:eastAsia="zh-CN"/>
        </w:rPr>
        <w:t>Multiple</w:t>
      </w:r>
      <w:r w:rsidR="00371FC3">
        <w:rPr>
          <w:rFonts w:hint="eastAsia"/>
          <w:szCs w:val="22"/>
          <w:lang w:val="en-US" w:eastAsia="zh-CN"/>
        </w:rPr>
        <w:t xml:space="preserve"> </w:t>
      </w:r>
      <w:r>
        <w:rPr>
          <w:szCs w:val="22"/>
          <w:lang w:val="en-US" w:eastAsia="zh-CN"/>
        </w:rPr>
        <w:t xml:space="preserve">candidate </w:t>
      </w:r>
      <w:r w:rsidR="00371FC3">
        <w:rPr>
          <w:rFonts w:hint="eastAsia"/>
          <w:szCs w:val="22"/>
          <w:lang w:val="en-US" w:eastAsia="zh-CN"/>
        </w:rPr>
        <w:t xml:space="preserve">DMRS patterns </w:t>
      </w:r>
      <w:r>
        <w:rPr>
          <w:szCs w:val="22"/>
          <w:lang w:val="en-US" w:eastAsia="zh-CN"/>
        </w:rPr>
        <w:t>can</w:t>
      </w:r>
      <w:r w:rsidR="00371FC3">
        <w:rPr>
          <w:rFonts w:hint="eastAsia"/>
          <w:szCs w:val="22"/>
          <w:lang w:val="en-US" w:eastAsia="zh-CN"/>
        </w:rPr>
        <w:t xml:space="preserve"> be defined </w:t>
      </w:r>
      <w:r>
        <w:rPr>
          <w:szCs w:val="22"/>
          <w:lang w:val="en-US" w:eastAsia="zh-CN"/>
        </w:rPr>
        <w:t>per</w:t>
      </w:r>
      <w:r w:rsidR="00371FC3">
        <w:rPr>
          <w:rFonts w:hint="eastAsia"/>
          <w:szCs w:val="22"/>
          <w:lang w:val="en-US" w:eastAsia="zh-CN"/>
        </w:rPr>
        <w:t xml:space="preserve"> SCS on sidelink</w:t>
      </w:r>
      <w:r>
        <w:rPr>
          <w:szCs w:val="22"/>
          <w:lang w:val="en-US" w:eastAsia="zh-CN"/>
        </w:rPr>
        <w:t xml:space="preserve">, among which one single DMRS pattern </w:t>
      </w:r>
      <w:r>
        <w:rPr>
          <w:rFonts w:hint="eastAsia"/>
          <w:lang w:val="en-US" w:eastAsia="zh-CN"/>
        </w:rPr>
        <w:t>should be configured/pre-configured per resource pool.</w:t>
      </w:r>
      <w:bookmarkEnd w:id="47"/>
    </w:p>
    <w:bookmarkEnd w:id="46"/>
    <w:p w:rsidR="00650448" w:rsidRDefault="00371FC3">
      <w:pPr>
        <w:pStyle w:val="Heading2"/>
        <w:spacing w:before="120" w:after="120"/>
        <w:ind w:left="991" w:right="200" w:hangingChars="354" w:hanging="991"/>
        <w:rPr>
          <w:szCs w:val="22"/>
        </w:rPr>
      </w:pPr>
      <w:r>
        <w:rPr>
          <w:rFonts w:hint="eastAsia"/>
          <w:szCs w:val="22"/>
        </w:rPr>
        <w:lastRenderedPageBreak/>
        <w:t>Two-stage SCI structure</w:t>
      </w:r>
    </w:p>
    <w:p w:rsidR="00650448" w:rsidRDefault="00371FC3">
      <w:pPr>
        <w:spacing w:before="120" w:after="120"/>
      </w:pPr>
      <w:r>
        <w:rPr>
          <w:rFonts w:hint="eastAsia"/>
        </w:rPr>
        <w:t>According to the simulation assumption agreement of SCI sizes as 60/90/120 bits</w:t>
      </w:r>
      <w:r w:rsidR="003760D9">
        <w:t xml:space="preserve"> </w:t>
      </w:r>
      <w:r>
        <w:rPr>
          <w:rFonts w:hint="eastAsia"/>
        </w:rPr>
        <w:t>(including 24 bits CRC), we analy</w:t>
      </w:r>
      <w:r>
        <w:t>z</w:t>
      </w:r>
      <w:r>
        <w:rPr>
          <w:rFonts w:hint="eastAsia"/>
        </w:rPr>
        <w:t>e and evaluate the following schemes of SCI formats:</w:t>
      </w:r>
    </w:p>
    <w:p w:rsidR="00650448" w:rsidRDefault="00371FC3">
      <w:pPr>
        <w:pStyle w:val="ListParagraph"/>
        <w:numPr>
          <w:ilvl w:val="0"/>
          <w:numId w:val="9"/>
        </w:numPr>
        <w:spacing w:before="120" w:after="120"/>
        <w:rPr>
          <w:sz w:val="20"/>
          <w:szCs w:val="20"/>
        </w:rPr>
      </w:pPr>
      <w:r>
        <w:rPr>
          <w:rFonts w:hint="eastAsia"/>
          <w:sz w:val="20"/>
          <w:szCs w:val="20"/>
        </w:rPr>
        <w:t>Case 1:  Single</w:t>
      </w:r>
      <w:r>
        <w:rPr>
          <w:sz w:val="20"/>
          <w:szCs w:val="20"/>
        </w:rPr>
        <w:t>-stage</w:t>
      </w:r>
      <w:r>
        <w:rPr>
          <w:rFonts w:hint="eastAsia"/>
          <w:sz w:val="20"/>
          <w:szCs w:val="20"/>
        </w:rPr>
        <w:t xml:space="preserve"> SCI </w:t>
      </w:r>
      <w:r>
        <w:rPr>
          <w:sz w:val="20"/>
          <w:szCs w:val="20"/>
        </w:rPr>
        <w:t>scheme.</w:t>
      </w:r>
    </w:p>
    <w:p w:rsidR="00650448" w:rsidRDefault="00371FC3">
      <w:pPr>
        <w:pStyle w:val="ListParagraph"/>
        <w:numPr>
          <w:ilvl w:val="0"/>
          <w:numId w:val="9"/>
        </w:numPr>
        <w:spacing w:before="120" w:after="120"/>
        <w:rPr>
          <w:sz w:val="20"/>
          <w:szCs w:val="20"/>
        </w:rPr>
      </w:pPr>
      <w:r>
        <w:rPr>
          <w:rFonts w:eastAsia="SimSun" w:hint="eastAsia"/>
          <w:sz w:val="20"/>
          <w:szCs w:val="20"/>
        </w:rPr>
        <w:t xml:space="preserve">For two-stage SCI </w:t>
      </w:r>
      <w:r>
        <w:rPr>
          <w:rFonts w:eastAsia="SimSun"/>
          <w:sz w:val="20"/>
          <w:szCs w:val="20"/>
        </w:rPr>
        <w:t>scheme</w:t>
      </w:r>
      <w:r>
        <w:rPr>
          <w:rFonts w:eastAsia="SimSun" w:hint="eastAsia"/>
          <w:sz w:val="20"/>
          <w:szCs w:val="20"/>
        </w:rPr>
        <w:t xml:space="preserve">, </w:t>
      </w:r>
      <w:r>
        <w:rPr>
          <w:rFonts w:hint="eastAsia"/>
          <w:sz w:val="20"/>
          <w:szCs w:val="20"/>
        </w:rPr>
        <w:t xml:space="preserve">extra </w:t>
      </w:r>
      <w:r>
        <w:rPr>
          <w:rFonts w:eastAsia="SimSun" w:hint="eastAsia"/>
          <w:sz w:val="20"/>
          <w:szCs w:val="20"/>
        </w:rPr>
        <w:t xml:space="preserve">24 bits CRC is added for stage-2 SCI, and </w:t>
      </w:r>
      <w:r>
        <w:rPr>
          <w:rFonts w:hint="eastAsia"/>
          <w:sz w:val="20"/>
          <w:szCs w:val="20"/>
        </w:rPr>
        <w:t xml:space="preserve">the </w:t>
      </w:r>
      <w:r>
        <w:rPr>
          <w:rFonts w:eastAsia="SimSun" w:hint="eastAsia"/>
          <w:sz w:val="20"/>
          <w:szCs w:val="20"/>
        </w:rPr>
        <w:t xml:space="preserve">effective indication bits used in case 1 are divided into stage-1 and stage-2 by a </w:t>
      </w:r>
      <w:r>
        <w:rPr>
          <w:rFonts w:eastAsia="SimSun"/>
          <w:sz w:val="20"/>
          <w:szCs w:val="20"/>
        </w:rPr>
        <w:t xml:space="preserve">2:1 </w:t>
      </w:r>
      <w:r>
        <w:rPr>
          <w:rFonts w:eastAsia="SimSun" w:hint="eastAsia"/>
          <w:sz w:val="20"/>
          <w:szCs w:val="20"/>
        </w:rPr>
        <w:t xml:space="preserve">ratio, </w:t>
      </w:r>
      <w:r>
        <w:rPr>
          <w:rFonts w:eastAsia="SimSun"/>
          <w:sz w:val="20"/>
          <w:szCs w:val="20"/>
        </w:rPr>
        <w:t>further</w:t>
      </w:r>
      <w:r>
        <w:rPr>
          <w:rFonts w:eastAsia="SimSun" w:hint="eastAsia"/>
          <w:sz w:val="20"/>
          <w:szCs w:val="20"/>
        </w:rPr>
        <w:t>,</w:t>
      </w:r>
    </w:p>
    <w:p w:rsidR="00650448" w:rsidRDefault="00371FC3">
      <w:pPr>
        <w:pStyle w:val="ListParagraph"/>
        <w:numPr>
          <w:ilvl w:val="1"/>
          <w:numId w:val="9"/>
        </w:numPr>
        <w:spacing w:before="120" w:after="120"/>
        <w:rPr>
          <w:sz w:val="20"/>
          <w:szCs w:val="20"/>
        </w:rPr>
      </w:pPr>
      <w:r>
        <w:rPr>
          <w:rFonts w:eastAsia="SimSun" w:hint="eastAsia"/>
          <w:sz w:val="20"/>
          <w:szCs w:val="20"/>
        </w:rPr>
        <w:t xml:space="preserve"> </w:t>
      </w:r>
      <w:r>
        <w:rPr>
          <w:rFonts w:hint="eastAsia"/>
          <w:sz w:val="20"/>
          <w:szCs w:val="20"/>
        </w:rPr>
        <w:t xml:space="preserve">Case 2: </w:t>
      </w:r>
      <w:r>
        <w:rPr>
          <w:rFonts w:eastAsia="SimSun" w:hint="eastAsia"/>
          <w:sz w:val="20"/>
          <w:szCs w:val="20"/>
        </w:rPr>
        <w:t xml:space="preserve"> another 2 bits are added in stage-1 SCI to indicate </w:t>
      </w:r>
      <w:r>
        <w:rPr>
          <w:rFonts w:eastAsia="SimSun"/>
          <w:sz w:val="20"/>
          <w:szCs w:val="20"/>
        </w:rPr>
        <w:t xml:space="preserve">the somehow fixed </w:t>
      </w:r>
      <w:r>
        <w:rPr>
          <w:rFonts w:eastAsia="SimSun" w:hint="eastAsia"/>
          <w:sz w:val="20"/>
          <w:szCs w:val="20"/>
        </w:rPr>
        <w:t>stage-2 SCI format;</w:t>
      </w:r>
    </w:p>
    <w:p w:rsidR="00650448" w:rsidRPr="00081E01" w:rsidRDefault="00371FC3">
      <w:pPr>
        <w:pStyle w:val="ListParagraph"/>
        <w:numPr>
          <w:ilvl w:val="1"/>
          <w:numId w:val="9"/>
        </w:numPr>
        <w:spacing w:before="120" w:after="120"/>
        <w:rPr>
          <w:sz w:val="20"/>
          <w:szCs w:val="20"/>
        </w:rPr>
      </w:pPr>
      <w:r>
        <w:rPr>
          <w:rFonts w:eastAsia="SimSun" w:hint="eastAsia"/>
          <w:sz w:val="20"/>
          <w:szCs w:val="20"/>
        </w:rPr>
        <w:t xml:space="preserve"> </w:t>
      </w:r>
      <w:r>
        <w:rPr>
          <w:rFonts w:hint="eastAsia"/>
          <w:sz w:val="20"/>
          <w:szCs w:val="20"/>
        </w:rPr>
        <w:t xml:space="preserve">Case 3:  </w:t>
      </w:r>
      <w:r>
        <w:rPr>
          <w:rFonts w:eastAsia="SimSun" w:hint="eastAsia"/>
          <w:sz w:val="20"/>
          <w:szCs w:val="20"/>
        </w:rPr>
        <w:t xml:space="preserve">another 20 bits are added in stage-1 SCI to indicate </w:t>
      </w:r>
      <w:r>
        <w:rPr>
          <w:rFonts w:eastAsia="SimSun"/>
          <w:sz w:val="20"/>
          <w:szCs w:val="20"/>
        </w:rPr>
        <w:t xml:space="preserve">the </w:t>
      </w:r>
      <w:r>
        <w:rPr>
          <w:rFonts w:eastAsia="SimSun" w:hint="eastAsia"/>
          <w:sz w:val="20"/>
          <w:szCs w:val="20"/>
        </w:rPr>
        <w:t>flexible stage-2 SCI resource/format</w:t>
      </w:r>
      <w:r w:rsidR="00081E01">
        <w:rPr>
          <w:rFonts w:eastAsia="SimSun" w:hint="eastAsia"/>
          <w:sz w:val="20"/>
          <w:szCs w:val="20"/>
        </w:rPr>
        <w:t>.</w:t>
      </w:r>
    </w:p>
    <w:p w:rsidR="00081E01" w:rsidRDefault="00081E01" w:rsidP="00081E01">
      <w:pPr>
        <w:pStyle w:val="ListParagraph"/>
        <w:spacing w:before="240" w:afterLines="0"/>
        <w:ind w:left="1440"/>
        <w:rPr>
          <w:rFonts w:eastAsia="SimSun"/>
          <w:sz w:val="20"/>
          <w:szCs w:val="20"/>
        </w:rPr>
      </w:pPr>
    </w:p>
    <w:p w:rsidR="00081E01" w:rsidRDefault="00081E01" w:rsidP="00081E01">
      <w:pPr>
        <w:pStyle w:val="Caption"/>
        <w:spacing w:beforeLines="0" w:before="0" w:afterLines="0" w:after="0"/>
        <w:jc w:val="center"/>
      </w:pPr>
      <w:r>
        <w:t xml:space="preserve">Table </w:t>
      </w:r>
      <w:fldSimple w:instr=" SEQ Table \* ARABIC ">
        <w:r>
          <w:rPr>
            <w:noProof/>
          </w:rPr>
          <w:t>2</w:t>
        </w:r>
      </w:fldSimple>
      <w:r>
        <w:t xml:space="preserve"> Payload sizes </w:t>
      </w:r>
      <w:r w:rsidR="00A324D8">
        <w:t xml:space="preserve">(including CRC) </w:t>
      </w:r>
      <w:r>
        <w:t>for SCI evaluation</w:t>
      </w:r>
    </w:p>
    <w:tbl>
      <w:tblPr>
        <w:tblStyle w:val="TableGrid"/>
        <w:tblW w:w="0" w:type="auto"/>
        <w:jc w:val="center"/>
        <w:tblLayout w:type="fixed"/>
        <w:tblLook w:val="04A0" w:firstRow="1" w:lastRow="0" w:firstColumn="1" w:lastColumn="0" w:noHBand="0" w:noVBand="1"/>
      </w:tblPr>
      <w:tblGrid>
        <w:gridCol w:w="1877"/>
        <w:gridCol w:w="2371"/>
        <w:gridCol w:w="2520"/>
      </w:tblGrid>
      <w:tr w:rsidR="001709F6" w:rsidTr="00081E01">
        <w:trPr>
          <w:jc w:val="center"/>
        </w:trPr>
        <w:tc>
          <w:tcPr>
            <w:tcW w:w="1877" w:type="dxa"/>
            <w:vAlign w:val="center"/>
          </w:tcPr>
          <w:p w:rsidR="001709F6" w:rsidRPr="00A4799F" w:rsidRDefault="001709F6" w:rsidP="00081E01">
            <w:pPr>
              <w:spacing w:before="120" w:after="120"/>
              <w:jc w:val="center"/>
              <w:rPr>
                <w:sz w:val="18"/>
                <w:szCs w:val="18"/>
              </w:rPr>
            </w:pPr>
            <w:r w:rsidRPr="00A4799F">
              <w:rPr>
                <w:sz w:val="18"/>
                <w:szCs w:val="18"/>
              </w:rPr>
              <w:t>Case 1 (single-stage)</w:t>
            </w:r>
          </w:p>
        </w:tc>
        <w:tc>
          <w:tcPr>
            <w:tcW w:w="2371" w:type="dxa"/>
            <w:vAlign w:val="center"/>
          </w:tcPr>
          <w:p w:rsidR="001709F6" w:rsidRPr="00A4799F" w:rsidRDefault="001709F6" w:rsidP="00081E01">
            <w:pPr>
              <w:spacing w:before="120" w:after="120"/>
              <w:jc w:val="center"/>
              <w:rPr>
                <w:sz w:val="18"/>
                <w:szCs w:val="18"/>
              </w:rPr>
            </w:pPr>
            <w:r w:rsidRPr="00A4799F">
              <w:rPr>
                <w:sz w:val="18"/>
                <w:szCs w:val="18"/>
              </w:rPr>
              <w:t>Case 2 (two-stage w/ 2bits to indicate 2</w:t>
            </w:r>
            <w:r w:rsidRPr="00A4799F">
              <w:rPr>
                <w:sz w:val="18"/>
                <w:szCs w:val="18"/>
                <w:vertAlign w:val="superscript"/>
              </w:rPr>
              <w:t>nd</w:t>
            </w:r>
            <w:r w:rsidRPr="00A4799F">
              <w:rPr>
                <w:sz w:val="18"/>
                <w:szCs w:val="18"/>
              </w:rPr>
              <w:t xml:space="preserve"> stage)</w:t>
            </w:r>
          </w:p>
        </w:tc>
        <w:tc>
          <w:tcPr>
            <w:tcW w:w="2520" w:type="dxa"/>
            <w:vAlign w:val="center"/>
          </w:tcPr>
          <w:p w:rsidR="001709F6" w:rsidRPr="00A4799F" w:rsidRDefault="001709F6" w:rsidP="00081E01">
            <w:pPr>
              <w:spacing w:before="120" w:after="120"/>
              <w:jc w:val="center"/>
              <w:rPr>
                <w:sz w:val="18"/>
                <w:szCs w:val="18"/>
              </w:rPr>
            </w:pPr>
            <w:r w:rsidRPr="00A4799F">
              <w:rPr>
                <w:sz w:val="18"/>
                <w:szCs w:val="18"/>
              </w:rPr>
              <w:t>Case 3 (two-stage w/ 20bits to indicate 2</w:t>
            </w:r>
            <w:r w:rsidRPr="00A4799F">
              <w:rPr>
                <w:sz w:val="18"/>
                <w:szCs w:val="18"/>
                <w:vertAlign w:val="superscript"/>
              </w:rPr>
              <w:t>nd</w:t>
            </w:r>
            <w:r w:rsidRPr="00A4799F">
              <w:rPr>
                <w:sz w:val="18"/>
                <w:szCs w:val="18"/>
              </w:rPr>
              <w:t xml:space="preserve"> stage)</w:t>
            </w:r>
          </w:p>
        </w:tc>
      </w:tr>
      <w:tr w:rsidR="001709F6" w:rsidTr="00081E01">
        <w:trPr>
          <w:jc w:val="center"/>
        </w:trPr>
        <w:tc>
          <w:tcPr>
            <w:tcW w:w="1877" w:type="dxa"/>
            <w:vAlign w:val="center"/>
          </w:tcPr>
          <w:p w:rsidR="001709F6" w:rsidRPr="00A4799F" w:rsidRDefault="001709F6" w:rsidP="00081E01">
            <w:pPr>
              <w:spacing w:before="120" w:after="120"/>
              <w:jc w:val="center"/>
              <w:rPr>
                <w:sz w:val="18"/>
                <w:szCs w:val="18"/>
              </w:rPr>
            </w:pPr>
            <w:r w:rsidRPr="00A4799F">
              <w:rPr>
                <w:sz w:val="18"/>
                <w:szCs w:val="18"/>
              </w:rPr>
              <w:t>60 bits</w:t>
            </w:r>
          </w:p>
        </w:tc>
        <w:tc>
          <w:tcPr>
            <w:tcW w:w="2371" w:type="dxa"/>
            <w:vAlign w:val="center"/>
          </w:tcPr>
          <w:p w:rsidR="00081E01" w:rsidRPr="00A4799F" w:rsidRDefault="001709F6" w:rsidP="00081E01">
            <w:pPr>
              <w:spacing w:before="120" w:after="120"/>
              <w:jc w:val="center"/>
              <w:rPr>
                <w:sz w:val="18"/>
                <w:szCs w:val="18"/>
              </w:rPr>
            </w:pPr>
            <w:r w:rsidRPr="00A4799F">
              <w:rPr>
                <w:sz w:val="18"/>
                <w:szCs w:val="18"/>
              </w:rPr>
              <w:t>1</w:t>
            </w:r>
            <w:r w:rsidRPr="00A4799F">
              <w:rPr>
                <w:sz w:val="18"/>
                <w:szCs w:val="18"/>
                <w:vertAlign w:val="superscript"/>
              </w:rPr>
              <w:t>st</w:t>
            </w:r>
            <w:r w:rsidRPr="00A4799F">
              <w:rPr>
                <w:sz w:val="18"/>
                <w:szCs w:val="18"/>
              </w:rPr>
              <w:t xml:space="preserve"> stage: 50 bits</w:t>
            </w:r>
          </w:p>
          <w:p w:rsidR="001709F6" w:rsidRPr="00A4799F" w:rsidRDefault="001709F6" w:rsidP="00081E01">
            <w:pPr>
              <w:spacing w:before="120" w:after="120"/>
              <w:jc w:val="center"/>
              <w:rPr>
                <w:sz w:val="18"/>
                <w:szCs w:val="18"/>
              </w:rPr>
            </w:pPr>
            <w:r w:rsidRPr="00A4799F">
              <w:rPr>
                <w:sz w:val="18"/>
                <w:szCs w:val="18"/>
              </w:rPr>
              <w:t>2</w:t>
            </w:r>
            <w:r w:rsidRPr="00A4799F">
              <w:rPr>
                <w:sz w:val="18"/>
                <w:szCs w:val="18"/>
                <w:vertAlign w:val="superscript"/>
              </w:rPr>
              <w:t>nd</w:t>
            </w:r>
            <w:r w:rsidRPr="00A4799F">
              <w:rPr>
                <w:sz w:val="18"/>
                <w:szCs w:val="18"/>
              </w:rPr>
              <w:t xml:space="preserve"> stage: 36 bits</w:t>
            </w:r>
          </w:p>
        </w:tc>
        <w:tc>
          <w:tcPr>
            <w:tcW w:w="2520" w:type="dxa"/>
            <w:vAlign w:val="center"/>
          </w:tcPr>
          <w:p w:rsidR="001709F6" w:rsidRPr="00A4799F" w:rsidRDefault="001709F6" w:rsidP="00081E01">
            <w:pPr>
              <w:spacing w:before="120" w:after="120"/>
              <w:jc w:val="center"/>
              <w:rPr>
                <w:sz w:val="18"/>
                <w:szCs w:val="18"/>
              </w:rPr>
            </w:pPr>
            <w:r w:rsidRPr="00A4799F">
              <w:rPr>
                <w:sz w:val="18"/>
                <w:szCs w:val="18"/>
              </w:rPr>
              <w:t>1</w:t>
            </w:r>
            <w:r w:rsidRPr="00A4799F">
              <w:rPr>
                <w:sz w:val="18"/>
                <w:szCs w:val="18"/>
                <w:vertAlign w:val="superscript"/>
              </w:rPr>
              <w:t>st</w:t>
            </w:r>
            <w:r w:rsidRPr="00A4799F">
              <w:rPr>
                <w:sz w:val="18"/>
                <w:szCs w:val="18"/>
              </w:rPr>
              <w:t xml:space="preserve"> stage: 68 bits</w:t>
            </w:r>
          </w:p>
          <w:p w:rsidR="001709F6" w:rsidRPr="00A4799F" w:rsidRDefault="001709F6" w:rsidP="00081E01">
            <w:pPr>
              <w:spacing w:before="120" w:after="120"/>
              <w:jc w:val="center"/>
              <w:rPr>
                <w:sz w:val="18"/>
                <w:szCs w:val="18"/>
              </w:rPr>
            </w:pPr>
            <w:r w:rsidRPr="00A4799F">
              <w:rPr>
                <w:sz w:val="18"/>
                <w:szCs w:val="18"/>
              </w:rPr>
              <w:t>2</w:t>
            </w:r>
            <w:r w:rsidRPr="00A4799F">
              <w:rPr>
                <w:sz w:val="18"/>
                <w:szCs w:val="18"/>
                <w:vertAlign w:val="superscript"/>
              </w:rPr>
              <w:t>nd</w:t>
            </w:r>
            <w:r w:rsidRPr="00A4799F">
              <w:rPr>
                <w:sz w:val="18"/>
                <w:szCs w:val="18"/>
              </w:rPr>
              <w:t xml:space="preserve"> stage: 36 bits</w:t>
            </w:r>
          </w:p>
        </w:tc>
      </w:tr>
      <w:tr w:rsidR="001709F6" w:rsidTr="00081E01">
        <w:trPr>
          <w:jc w:val="center"/>
        </w:trPr>
        <w:tc>
          <w:tcPr>
            <w:tcW w:w="1877" w:type="dxa"/>
            <w:vAlign w:val="center"/>
          </w:tcPr>
          <w:p w:rsidR="001709F6" w:rsidRPr="00A4799F" w:rsidRDefault="001709F6" w:rsidP="00081E01">
            <w:pPr>
              <w:spacing w:before="120" w:after="120"/>
              <w:jc w:val="center"/>
              <w:rPr>
                <w:sz w:val="18"/>
                <w:szCs w:val="18"/>
              </w:rPr>
            </w:pPr>
            <w:r w:rsidRPr="00A4799F">
              <w:rPr>
                <w:sz w:val="18"/>
                <w:szCs w:val="18"/>
              </w:rPr>
              <w:t>90 bits</w:t>
            </w:r>
          </w:p>
        </w:tc>
        <w:tc>
          <w:tcPr>
            <w:tcW w:w="2371" w:type="dxa"/>
            <w:vAlign w:val="center"/>
          </w:tcPr>
          <w:p w:rsidR="001709F6" w:rsidRPr="00A4799F" w:rsidRDefault="001709F6" w:rsidP="00081E01">
            <w:pPr>
              <w:spacing w:before="120" w:after="120"/>
              <w:jc w:val="center"/>
              <w:rPr>
                <w:sz w:val="18"/>
                <w:szCs w:val="18"/>
              </w:rPr>
            </w:pPr>
            <w:r w:rsidRPr="00A4799F">
              <w:rPr>
                <w:sz w:val="18"/>
                <w:szCs w:val="18"/>
              </w:rPr>
              <w:t>1</w:t>
            </w:r>
            <w:r w:rsidRPr="00A4799F">
              <w:rPr>
                <w:sz w:val="18"/>
                <w:szCs w:val="18"/>
                <w:vertAlign w:val="superscript"/>
              </w:rPr>
              <w:t>st</w:t>
            </w:r>
            <w:r w:rsidRPr="00A4799F">
              <w:rPr>
                <w:sz w:val="18"/>
                <w:szCs w:val="18"/>
              </w:rPr>
              <w:t xml:space="preserve"> stage: 70 bits</w:t>
            </w:r>
          </w:p>
          <w:p w:rsidR="001709F6" w:rsidRPr="00A4799F" w:rsidRDefault="001709F6" w:rsidP="00081E01">
            <w:pPr>
              <w:spacing w:before="120" w:after="120"/>
              <w:jc w:val="center"/>
              <w:rPr>
                <w:sz w:val="18"/>
                <w:szCs w:val="18"/>
              </w:rPr>
            </w:pPr>
            <w:r w:rsidRPr="00A4799F">
              <w:rPr>
                <w:sz w:val="18"/>
                <w:szCs w:val="18"/>
              </w:rPr>
              <w:t>2</w:t>
            </w:r>
            <w:r w:rsidRPr="00A4799F">
              <w:rPr>
                <w:sz w:val="18"/>
                <w:szCs w:val="18"/>
                <w:vertAlign w:val="superscript"/>
              </w:rPr>
              <w:t>nd</w:t>
            </w:r>
            <w:r w:rsidRPr="00A4799F">
              <w:rPr>
                <w:sz w:val="18"/>
                <w:szCs w:val="18"/>
              </w:rPr>
              <w:t xml:space="preserve"> stage: 46 bits</w:t>
            </w:r>
          </w:p>
        </w:tc>
        <w:tc>
          <w:tcPr>
            <w:tcW w:w="2520" w:type="dxa"/>
            <w:vAlign w:val="center"/>
          </w:tcPr>
          <w:p w:rsidR="001709F6" w:rsidRPr="00A4799F" w:rsidRDefault="001709F6" w:rsidP="00081E01">
            <w:pPr>
              <w:spacing w:before="120" w:after="120"/>
              <w:jc w:val="center"/>
              <w:rPr>
                <w:sz w:val="18"/>
                <w:szCs w:val="18"/>
              </w:rPr>
            </w:pPr>
            <w:r w:rsidRPr="00A4799F">
              <w:rPr>
                <w:sz w:val="18"/>
                <w:szCs w:val="18"/>
              </w:rPr>
              <w:t>1</w:t>
            </w:r>
            <w:r w:rsidRPr="00A4799F">
              <w:rPr>
                <w:sz w:val="18"/>
                <w:szCs w:val="18"/>
                <w:vertAlign w:val="superscript"/>
              </w:rPr>
              <w:t>st</w:t>
            </w:r>
            <w:r w:rsidRPr="00A4799F">
              <w:rPr>
                <w:sz w:val="18"/>
                <w:szCs w:val="18"/>
              </w:rPr>
              <w:t xml:space="preserve"> stage: 88 bits</w:t>
            </w:r>
          </w:p>
          <w:p w:rsidR="001709F6" w:rsidRPr="00A4799F" w:rsidRDefault="001709F6" w:rsidP="00081E01">
            <w:pPr>
              <w:spacing w:before="120" w:after="120"/>
              <w:jc w:val="center"/>
              <w:rPr>
                <w:sz w:val="18"/>
                <w:szCs w:val="18"/>
              </w:rPr>
            </w:pPr>
            <w:r w:rsidRPr="00A4799F">
              <w:rPr>
                <w:sz w:val="18"/>
                <w:szCs w:val="18"/>
              </w:rPr>
              <w:t>2</w:t>
            </w:r>
            <w:r w:rsidRPr="00A4799F">
              <w:rPr>
                <w:sz w:val="18"/>
                <w:szCs w:val="18"/>
                <w:vertAlign w:val="superscript"/>
              </w:rPr>
              <w:t>nd</w:t>
            </w:r>
            <w:r w:rsidRPr="00A4799F">
              <w:rPr>
                <w:sz w:val="18"/>
                <w:szCs w:val="18"/>
              </w:rPr>
              <w:t xml:space="preserve"> stage: 46 bits</w:t>
            </w:r>
          </w:p>
        </w:tc>
      </w:tr>
      <w:tr w:rsidR="001709F6" w:rsidTr="00081E01">
        <w:trPr>
          <w:jc w:val="center"/>
        </w:trPr>
        <w:tc>
          <w:tcPr>
            <w:tcW w:w="1877" w:type="dxa"/>
            <w:vAlign w:val="center"/>
          </w:tcPr>
          <w:p w:rsidR="001709F6" w:rsidRPr="00A4799F" w:rsidRDefault="001709F6" w:rsidP="00081E01">
            <w:pPr>
              <w:spacing w:before="120" w:after="120"/>
              <w:jc w:val="center"/>
              <w:rPr>
                <w:sz w:val="18"/>
                <w:szCs w:val="18"/>
              </w:rPr>
            </w:pPr>
            <w:r w:rsidRPr="00A4799F">
              <w:rPr>
                <w:sz w:val="18"/>
                <w:szCs w:val="18"/>
              </w:rPr>
              <w:t>120 bits</w:t>
            </w:r>
          </w:p>
        </w:tc>
        <w:tc>
          <w:tcPr>
            <w:tcW w:w="2371" w:type="dxa"/>
            <w:vAlign w:val="center"/>
          </w:tcPr>
          <w:p w:rsidR="001709F6" w:rsidRPr="00A4799F" w:rsidRDefault="001709F6" w:rsidP="00081E01">
            <w:pPr>
              <w:spacing w:before="120" w:after="120"/>
              <w:jc w:val="center"/>
              <w:rPr>
                <w:sz w:val="18"/>
                <w:szCs w:val="18"/>
              </w:rPr>
            </w:pPr>
            <w:r w:rsidRPr="00A4799F">
              <w:rPr>
                <w:sz w:val="18"/>
                <w:szCs w:val="18"/>
              </w:rPr>
              <w:t>1</w:t>
            </w:r>
            <w:r w:rsidRPr="00A4799F">
              <w:rPr>
                <w:sz w:val="18"/>
                <w:szCs w:val="18"/>
                <w:vertAlign w:val="superscript"/>
              </w:rPr>
              <w:t>st</w:t>
            </w:r>
            <w:r w:rsidRPr="00A4799F">
              <w:rPr>
                <w:sz w:val="18"/>
                <w:szCs w:val="18"/>
              </w:rPr>
              <w:t xml:space="preserve"> stage: 90 bits</w:t>
            </w:r>
          </w:p>
          <w:p w:rsidR="001709F6" w:rsidRPr="00A4799F" w:rsidRDefault="001709F6" w:rsidP="00081E01">
            <w:pPr>
              <w:spacing w:before="120" w:after="120"/>
              <w:jc w:val="center"/>
              <w:rPr>
                <w:sz w:val="18"/>
                <w:szCs w:val="18"/>
              </w:rPr>
            </w:pPr>
            <w:r w:rsidRPr="00A4799F">
              <w:rPr>
                <w:sz w:val="18"/>
                <w:szCs w:val="18"/>
              </w:rPr>
              <w:t>2</w:t>
            </w:r>
            <w:r w:rsidRPr="00A4799F">
              <w:rPr>
                <w:sz w:val="18"/>
                <w:szCs w:val="18"/>
                <w:vertAlign w:val="superscript"/>
              </w:rPr>
              <w:t>nd</w:t>
            </w:r>
            <w:r w:rsidRPr="00A4799F">
              <w:rPr>
                <w:sz w:val="18"/>
                <w:szCs w:val="18"/>
              </w:rPr>
              <w:t xml:space="preserve"> stage: 56 bits</w:t>
            </w:r>
          </w:p>
        </w:tc>
        <w:tc>
          <w:tcPr>
            <w:tcW w:w="2520" w:type="dxa"/>
            <w:vAlign w:val="center"/>
          </w:tcPr>
          <w:p w:rsidR="001709F6" w:rsidRPr="00A4799F" w:rsidRDefault="001709F6" w:rsidP="00081E01">
            <w:pPr>
              <w:spacing w:before="120" w:after="120"/>
              <w:jc w:val="center"/>
              <w:rPr>
                <w:sz w:val="18"/>
                <w:szCs w:val="18"/>
              </w:rPr>
            </w:pPr>
            <w:r w:rsidRPr="00A4799F">
              <w:rPr>
                <w:sz w:val="18"/>
                <w:szCs w:val="18"/>
              </w:rPr>
              <w:t>1</w:t>
            </w:r>
            <w:r w:rsidRPr="00A4799F">
              <w:rPr>
                <w:sz w:val="18"/>
                <w:szCs w:val="18"/>
                <w:vertAlign w:val="superscript"/>
              </w:rPr>
              <w:t>st</w:t>
            </w:r>
            <w:r w:rsidRPr="00A4799F">
              <w:rPr>
                <w:sz w:val="18"/>
                <w:szCs w:val="18"/>
              </w:rPr>
              <w:t xml:space="preserve"> stage: 108 bits</w:t>
            </w:r>
          </w:p>
          <w:p w:rsidR="001709F6" w:rsidRPr="00A4799F" w:rsidRDefault="001709F6" w:rsidP="00081E01">
            <w:pPr>
              <w:spacing w:before="120" w:after="120"/>
              <w:jc w:val="center"/>
              <w:rPr>
                <w:sz w:val="18"/>
                <w:szCs w:val="18"/>
              </w:rPr>
            </w:pPr>
            <w:r w:rsidRPr="00A4799F">
              <w:rPr>
                <w:sz w:val="18"/>
                <w:szCs w:val="18"/>
              </w:rPr>
              <w:t>2</w:t>
            </w:r>
            <w:r w:rsidRPr="00A4799F">
              <w:rPr>
                <w:sz w:val="18"/>
                <w:szCs w:val="18"/>
                <w:vertAlign w:val="superscript"/>
              </w:rPr>
              <w:t>nd</w:t>
            </w:r>
            <w:r w:rsidRPr="00A4799F">
              <w:rPr>
                <w:sz w:val="18"/>
                <w:szCs w:val="18"/>
              </w:rPr>
              <w:t xml:space="preserve"> stage: 56 bits</w:t>
            </w:r>
          </w:p>
        </w:tc>
      </w:tr>
    </w:tbl>
    <w:p w:rsidR="0039432B" w:rsidRDefault="0039432B">
      <w:pPr>
        <w:spacing w:before="120" w:after="120"/>
      </w:pPr>
    </w:p>
    <w:p w:rsidR="00650448" w:rsidRDefault="00371FC3">
      <w:pPr>
        <w:spacing w:before="120" w:after="120"/>
      </w:pPr>
      <w:r>
        <w:t>In the evaluation,</w:t>
      </w:r>
      <w:r w:rsidR="003760D9">
        <w:rPr>
          <w:rFonts w:hint="eastAsia"/>
        </w:rPr>
        <w:t xml:space="preserve"> </w:t>
      </w:r>
      <w:r w:rsidR="00A4799F">
        <w:t>for a given</w:t>
      </w:r>
      <w:r w:rsidR="00A4799F">
        <w:rPr>
          <w:rFonts w:hint="eastAsia"/>
        </w:rPr>
        <w:t xml:space="preserve"> SCI payload target (</w:t>
      </w:r>
      <w:r w:rsidR="00A4799F">
        <w:t>i.e., 60, 90, 120</w:t>
      </w:r>
      <w:r w:rsidR="00A4799F">
        <w:rPr>
          <w:rFonts w:hint="eastAsia"/>
        </w:rPr>
        <w:t>)</w:t>
      </w:r>
      <w:r w:rsidR="00A4799F">
        <w:t xml:space="preserve">, </w:t>
      </w:r>
      <w:r w:rsidR="003760D9">
        <w:rPr>
          <w:rFonts w:hint="eastAsia"/>
        </w:rPr>
        <w:t xml:space="preserve">the </w:t>
      </w:r>
      <w:r w:rsidR="00A4799F">
        <w:t xml:space="preserve">total </w:t>
      </w:r>
      <w:r w:rsidR="0039432B">
        <w:t>SCI</w:t>
      </w:r>
      <w:r w:rsidR="003760D9">
        <w:rPr>
          <w:rFonts w:hint="eastAsia"/>
        </w:rPr>
        <w:t xml:space="preserve"> resources used </w:t>
      </w:r>
      <w:r w:rsidR="003760D9">
        <w:t xml:space="preserve">in </w:t>
      </w:r>
      <w:r w:rsidR="00A4799F">
        <w:t xml:space="preserve">each of </w:t>
      </w:r>
      <w:r w:rsidR="003760D9">
        <w:t>three</w:t>
      </w:r>
      <w:r>
        <w:rPr>
          <w:rFonts w:hint="eastAsia"/>
        </w:rPr>
        <w:t xml:space="preserve"> case</w:t>
      </w:r>
      <w:r w:rsidR="003760D9">
        <w:t>s</w:t>
      </w:r>
      <w:r>
        <w:rPr>
          <w:rFonts w:hint="eastAsia"/>
        </w:rPr>
        <w:t xml:space="preserve"> are the same. </w:t>
      </w:r>
      <w:r w:rsidR="00A4799F">
        <w:t xml:space="preserve">Meanwhile, the different SCI payload targets correspond to different number of consumed RBs. </w:t>
      </w:r>
      <w:r>
        <w:rPr>
          <w:rFonts w:hint="eastAsia"/>
        </w:rPr>
        <w:t xml:space="preserve">The simulation results are shown in </w:t>
      </w:r>
      <w:r>
        <w:rPr>
          <w:rFonts w:hint="eastAsia"/>
        </w:rPr>
        <w:fldChar w:fldCharType="begin"/>
      </w:r>
      <w:r>
        <w:rPr>
          <w:rFonts w:hint="eastAsia"/>
        </w:rPr>
        <w:instrText xml:space="preserve"> REF _Ref29740 \h </w:instrText>
      </w:r>
      <w:r>
        <w:rPr>
          <w:rFonts w:hint="eastAsia"/>
        </w:rPr>
      </w:r>
      <w:r>
        <w:rPr>
          <w:rFonts w:hint="eastAsia"/>
        </w:rPr>
        <w:fldChar w:fldCharType="separate"/>
      </w:r>
      <w:r>
        <w:rPr>
          <w:bCs/>
        </w:rPr>
        <w:t>Figure 7</w:t>
      </w:r>
      <w:r>
        <w:rPr>
          <w:rFonts w:hint="eastAsia"/>
        </w:rPr>
        <w:fldChar w:fldCharType="end"/>
      </w:r>
      <w:r>
        <w:rPr>
          <w:rFonts w:hint="eastAsia"/>
        </w:rPr>
        <w:t xml:space="preserve">, </w:t>
      </w:r>
      <w:r>
        <w:rPr>
          <w:rFonts w:hint="eastAsia"/>
        </w:rPr>
        <w:fldChar w:fldCharType="begin"/>
      </w:r>
      <w:r>
        <w:rPr>
          <w:rFonts w:hint="eastAsia"/>
        </w:rPr>
        <w:instrText xml:space="preserve"> REF _Ref29747 \h </w:instrText>
      </w:r>
      <w:r>
        <w:rPr>
          <w:rFonts w:hint="eastAsia"/>
        </w:rPr>
      </w:r>
      <w:r>
        <w:rPr>
          <w:rFonts w:hint="eastAsia"/>
        </w:rPr>
        <w:fldChar w:fldCharType="separate"/>
      </w:r>
      <w:r>
        <w:rPr>
          <w:bCs/>
        </w:rPr>
        <w:t>Figure 8</w:t>
      </w:r>
      <w:r>
        <w:rPr>
          <w:rFonts w:hint="eastAsia"/>
        </w:rPr>
        <w:fldChar w:fldCharType="end"/>
      </w:r>
      <w:r>
        <w:rPr>
          <w:rFonts w:hint="eastAsia"/>
        </w:rPr>
        <w:t xml:space="preserve"> and </w:t>
      </w:r>
      <w:r>
        <w:rPr>
          <w:rFonts w:hint="eastAsia"/>
        </w:rPr>
        <w:fldChar w:fldCharType="begin"/>
      </w:r>
      <w:r>
        <w:rPr>
          <w:rFonts w:hint="eastAsia"/>
        </w:rPr>
        <w:instrText xml:space="preserve"> REF _Ref29750 \h </w:instrText>
      </w:r>
      <w:r>
        <w:rPr>
          <w:rFonts w:hint="eastAsia"/>
        </w:rPr>
      </w:r>
      <w:r>
        <w:rPr>
          <w:rFonts w:hint="eastAsia"/>
        </w:rPr>
        <w:fldChar w:fldCharType="separate"/>
      </w:r>
      <w:r>
        <w:rPr>
          <w:bCs/>
        </w:rPr>
        <w:t>Figure 9</w:t>
      </w:r>
      <w:r>
        <w:rPr>
          <w:rFonts w:hint="eastAsia"/>
        </w:rPr>
        <w:fldChar w:fldCharType="end"/>
      </w:r>
      <w:r>
        <w:rPr>
          <w:rFonts w:hint="eastAsia"/>
        </w:rPr>
        <w:t>.</w:t>
      </w:r>
    </w:p>
    <w:p w:rsidR="00650448" w:rsidRDefault="00371FC3">
      <w:pPr>
        <w:spacing w:before="120" w:after="120"/>
        <w:jc w:val="center"/>
      </w:pPr>
      <w:r>
        <w:rPr>
          <w:rFonts w:hint="eastAsia"/>
          <w:noProof/>
        </w:rPr>
        <w:drawing>
          <wp:inline distT="0" distB="0" distL="0" distR="0">
            <wp:extent cx="4559935" cy="3420110"/>
            <wp:effectExtent l="0" t="0" r="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noChangeArrowheads="1"/>
                    </pic:cNvPicPr>
                  </pic:nvPicPr>
                  <pic:blipFill>
                    <a:blip r:embed="rId15" cstate="print"/>
                    <a:srcRect/>
                    <a:stretch>
                      <a:fillRect/>
                    </a:stretch>
                  </pic:blipFill>
                  <pic:spPr>
                    <a:xfrm>
                      <a:off x="0" y="0"/>
                      <a:ext cx="4559935" cy="3420110"/>
                    </a:xfrm>
                    <a:prstGeom prst="rect">
                      <a:avLst/>
                    </a:prstGeom>
                    <a:noFill/>
                    <a:ln w="9525">
                      <a:noFill/>
                      <a:miter lim="800000"/>
                      <a:headEnd/>
                      <a:tailEnd/>
                    </a:ln>
                  </pic:spPr>
                </pic:pic>
              </a:graphicData>
            </a:graphic>
          </wp:inline>
        </w:drawing>
      </w:r>
    </w:p>
    <w:p w:rsidR="00650448" w:rsidRDefault="00371FC3">
      <w:pPr>
        <w:pStyle w:val="Caption"/>
        <w:jc w:val="center"/>
        <w:rPr>
          <w:b w:val="0"/>
          <w:bCs/>
        </w:rPr>
      </w:pPr>
      <w:bookmarkStart w:id="48" w:name="_Ref29740"/>
      <w:r>
        <w:rPr>
          <w:b w:val="0"/>
          <w:bCs/>
        </w:rPr>
        <w:t xml:space="preserve">Figure </w:t>
      </w:r>
      <w:r>
        <w:rPr>
          <w:b w:val="0"/>
          <w:bCs/>
        </w:rPr>
        <w:fldChar w:fldCharType="begin"/>
      </w:r>
      <w:r>
        <w:rPr>
          <w:b w:val="0"/>
          <w:bCs/>
        </w:rPr>
        <w:instrText xml:space="preserve"> SEQ Figure \* ARABIC </w:instrText>
      </w:r>
      <w:r>
        <w:rPr>
          <w:b w:val="0"/>
          <w:bCs/>
        </w:rPr>
        <w:fldChar w:fldCharType="separate"/>
      </w:r>
      <w:r>
        <w:rPr>
          <w:b w:val="0"/>
          <w:bCs/>
        </w:rPr>
        <w:t>7</w:t>
      </w:r>
      <w:r>
        <w:rPr>
          <w:b w:val="0"/>
          <w:bCs/>
        </w:rPr>
        <w:fldChar w:fldCharType="end"/>
      </w:r>
      <w:bookmarkEnd w:id="48"/>
      <w:r>
        <w:rPr>
          <w:rFonts w:hint="eastAsia"/>
          <w:b w:val="0"/>
          <w:bCs/>
        </w:rPr>
        <w:t xml:space="preserve"> SCI </w:t>
      </w:r>
      <w:r>
        <w:rPr>
          <w:b w:val="0"/>
          <w:bCs/>
        </w:rPr>
        <w:t xml:space="preserve">performances for payload size of </w:t>
      </w:r>
      <w:r>
        <w:rPr>
          <w:rFonts w:hint="eastAsia"/>
          <w:b w:val="0"/>
          <w:bCs/>
        </w:rPr>
        <w:t>60 bits</w:t>
      </w:r>
    </w:p>
    <w:p w:rsidR="00650448" w:rsidRDefault="00371FC3">
      <w:pPr>
        <w:spacing w:before="120" w:after="120"/>
        <w:jc w:val="center"/>
      </w:pPr>
      <w:r>
        <w:rPr>
          <w:rFonts w:hint="eastAsia"/>
          <w:noProof/>
        </w:rPr>
        <w:lastRenderedPageBreak/>
        <w:drawing>
          <wp:inline distT="0" distB="0" distL="0" distR="0">
            <wp:extent cx="4560570" cy="3420110"/>
            <wp:effectExtent l="0" t="0" r="0" b="0"/>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noChangeArrowheads="1"/>
                    </pic:cNvPicPr>
                  </pic:nvPicPr>
                  <pic:blipFill>
                    <a:blip r:embed="rId16" cstate="print"/>
                    <a:srcRect/>
                    <a:stretch>
                      <a:fillRect/>
                    </a:stretch>
                  </pic:blipFill>
                  <pic:spPr>
                    <a:xfrm>
                      <a:off x="0" y="0"/>
                      <a:ext cx="4560570" cy="3420110"/>
                    </a:xfrm>
                    <a:prstGeom prst="rect">
                      <a:avLst/>
                    </a:prstGeom>
                    <a:noFill/>
                    <a:ln w="9525">
                      <a:noFill/>
                      <a:miter lim="800000"/>
                      <a:headEnd/>
                      <a:tailEnd/>
                    </a:ln>
                  </pic:spPr>
                </pic:pic>
              </a:graphicData>
            </a:graphic>
          </wp:inline>
        </w:drawing>
      </w:r>
    </w:p>
    <w:p w:rsidR="00650448" w:rsidRDefault="00371FC3">
      <w:pPr>
        <w:pStyle w:val="Caption"/>
        <w:jc w:val="center"/>
        <w:rPr>
          <w:b w:val="0"/>
          <w:bCs/>
        </w:rPr>
      </w:pPr>
      <w:bookmarkStart w:id="49" w:name="_Ref29747"/>
      <w:r>
        <w:rPr>
          <w:b w:val="0"/>
          <w:bCs/>
        </w:rPr>
        <w:t xml:space="preserve">Figure </w:t>
      </w:r>
      <w:r>
        <w:rPr>
          <w:b w:val="0"/>
          <w:bCs/>
        </w:rPr>
        <w:fldChar w:fldCharType="begin"/>
      </w:r>
      <w:r>
        <w:rPr>
          <w:b w:val="0"/>
          <w:bCs/>
        </w:rPr>
        <w:instrText xml:space="preserve"> SEQ Figure \* ARABIC </w:instrText>
      </w:r>
      <w:r>
        <w:rPr>
          <w:b w:val="0"/>
          <w:bCs/>
        </w:rPr>
        <w:fldChar w:fldCharType="separate"/>
      </w:r>
      <w:r>
        <w:rPr>
          <w:b w:val="0"/>
          <w:bCs/>
        </w:rPr>
        <w:t>8</w:t>
      </w:r>
      <w:r>
        <w:rPr>
          <w:b w:val="0"/>
          <w:bCs/>
        </w:rPr>
        <w:fldChar w:fldCharType="end"/>
      </w:r>
      <w:bookmarkEnd w:id="49"/>
      <w:r>
        <w:rPr>
          <w:rFonts w:hint="eastAsia"/>
          <w:b w:val="0"/>
          <w:bCs/>
        </w:rPr>
        <w:t xml:space="preserve"> SCI </w:t>
      </w:r>
      <w:r>
        <w:rPr>
          <w:b w:val="0"/>
          <w:bCs/>
        </w:rPr>
        <w:t>performances for payload size of 9</w:t>
      </w:r>
      <w:r>
        <w:rPr>
          <w:rFonts w:hint="eastAsia"/>
          <w:b w:val="0"/>
          <w:bCs/>
        </w:rPr>
        <w:t>0 bits</w:t>
      </w:r>
    </w:p>
    <w:p w:rsidR="00650448" w:rsidRDefault="00371FC3">
      <w:pPr>
        <w:spacing w:before="120" w:after="120"/>
        <w:jc w:val="center"/>
      </w:pPr>
      <w:r>
        <w:rPr>
          <w:rFonts w:hint="eastAsia"/>
          <w:noProof/>
        </w:rPr>
        <w:drawing>
          <wp:inline distT="0" distB="0" distL="0" distR="0">
            <wp:extent cx="4560570" cy="3420110"/>
            <wp:effectExtent l="0" t="0" r="0" b="0"/>
            <wp:docPr id="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
                    <pic:cNvPicPr>
                      <a:picLocks noChangeAspect="1" noChangeArrowheads="1"/>
                    </pic:cNvPicPr>
                  </pic:nvPicPr>
                  <pic:blipFill>
                    <a:blip r:embed="rId17" cstate="print"/>
                    <a:srcRect/>
                    <a:stretch>
                      <a:fillRect/>
                    </a:stretch>
                  </pic:blipFill>
                  <pic:spPr>
                    <a:xfrm>
                      <a:off x="0" y="0"/>
                      <a:ext cx="4560570" cy="3420110"/>
                    </a:xfrm>
                    <a:prstGeom prst="rect">
                      <a:avLst/>
                    </a:prstGeom>
                    <a:noFill/>
                    <a:ln w="9525">
                      <a:noFill/>
                      <a:miter lim="800000"/>
                      <a:headEnd/>
                      <a:tailEnd/>
                    </a:ln>
                  </pic:spPr>
                </pic:pic>
              </a:graphicData>
            </a:graphic>
          </wp:inline>
        </w:drawing>
      </w:r>
    </w:p>
    <w:p w:rsidR="00650448" w:rsidRDefault="00371FC3">
      <w:pPr>
        <w:pStyle w:val="Caption"/>
        <w:jc w:val="center"/>
        <w:rPr>
          <w:b w:val="0"/>
          <w:bCs/>
        </w:rPr>
      </w:pPr>
      <w:bookmarkStart w:id="50" w:name="_Ref29750"/>
      <w:r>
        <w:rPr>
          <w:b w:val="0"/>
          <w:bCs/>
        </w:rPr>
        <w:t xml:space="preserve">Figure </w:t>
      </w:r>
      <w:r>
        <w:rPr>
          <w:b w:val="0"/>
          <w:bCs/>
        </w:rPr>
        <w:fldChar w:fldCharType="begin"/>
      </w:r>
      <w:r>
        <w:rPr>
          <w:b w:val="0"/>
          <w:bCs/>
        </w:rPr>
        <w:instrText xml:space="preserve"> SEQ Figure \* ARABIC </w:instrText>
      </w:r>
      <w:r>
        <w:rPr>
          <w:b w:val="0"/>
          <w:bCs/>
        </w:rPr>
        <w:fldChar w:fldCharType="separate"/>
      </w:r>
      <w:r>
        <w:rPr>
          <w:b w:val="0"/>
          <w:bCs/>
        </w:rPr>
        <w:t>9</w:t>
      </w:r>
      <w:r>
        <w:rPr>
          <w:b w:val="0"/>
          <w:bCs/>
        </w:rPr>
        <w:fldChar w:fldCharType="end"/>
      </w:r>
      <w:bookmarkEnd w:id="50"/>
      <w:r>
        <w:rPr>
          <w:rFonts w:hint="eastAsia"/>
          <w:b w:val="0"/>
          <w:bCs/>
        </w:rPr>
        <w:t xml:space="preserve"> SCI </w:t>
      </w:r>
      <w:r>
        <w:rPr>
          <w:b w:val="0"/>
          <w:bCs/>
        </w:rPr>
        <w:t>performances for payload size of 12</w:t>
      </w:r>
      <w:r>
        <w:rPr>
          <w:rFonts w:hint="eastAsia"/>
          <w:b w:val="0"/>
          <w:bCs/>
        </w:rPr>
        <w:t>0 bits</w:t>
      </w:r>
    </w:p>
    <w:p w:rsidR="00371FC3" w:rsidRPr="00371FC3" w:rsidRDefault="00371FC3" w:rsidP="00371FC3">
      <w:pPr>
        <w:spacing w:before="120" w:after="120"/>
      </w:pPr>
    </w:p>
    <w:p w:rsidR="00650448" w:rsidRDefault="00371FC3">
      <w:pPr>
        <w:pStyle w:val="YJ-Observation"/>
        <w:spacing w:before="120" w:after="120"/>
        <w:rPr>
          <w:lang w:val="en-US" w:eastAsia="zh-CN"/>
        </w:rPr>
      </w:pPr>
      <w:bookmarkStart w:id="51" w:name="_Toc8582"/>
      <w:bookmarkStart w:id="52" w:name="_Toc18214"/>
      <w:bookmarkStart w:id="53" w:name="_Toc15096"/>
      <w:bookmarkStart w:id="54" w:name="_Toc32198"/>
      <w:bookmarkStart w:id="55" w:name="_Toc30621"/>
      <w:bookmarkStart w:id="56" w:name="_Toc7752383"/>
      <w:bookmarkEnd w:id="51"/>
      <w:bookmarkEnd w:id="52"/>
      <w:bookmarkEnd w:id="53"/>
      <w:bookmarkEnd w:id="54"/>
      <w:bookmarkEnd w:id="55"/>
      <w:r>
        <w:rPr>
          <w:rFonts w:hint="eastAsia"/>
          <w:lang w:val="en-US" w:eastAsia="zh-CN"/>
        </w:rPr>
        <w:t>Single</w:t>
      </w:r>
      <w:r>
        <w:rPr>
          <w:lang w:val="en-US" w:eastAsia="zh-CN"/>
        </w:rPr>
        <w:t>-stage</w:t>
      </w:r>
      <w:r>
        <w:rPr>
          <w:rFonts w:hint="eastAsia"/>
          <w:lang w:val="en-US" w:eastAsia="zh-CN"/>
        </w:rPr>
        <w:t xml:space="preserve"> SCI provides better performance than two-stage SCI scheme.</w:t>
      </w:r>
      <w:bookmarkEnd w:id="56"/>
    </w:p>
    <w:p w:rsidR="00650448" w:rsidRDefault="00371FC3">
      <w:pPr>
        <w:pStyle w:val="Heading1"/>
        <w:spacing w:before="120" w:after="120"/>
        <w:ind w:left="0"/>
        <w:rPr>
          <w:rFonts w:eastAsia="SimSun"/>
        </w:rPr>
      </w:pPr>
      <w:r>
        <w:rPr>
          <w:rFonts w:eastAsia="SimSun" w:hint="eastAsia"/>
        </w:rPr>
        <w:lastRenderedPageBreak/>
        <w:t>Conclusion</w:t>
      </w:r>
    </w:p>
    <w:p w:rsidR="00650448" w:rsidRDefault="00371FC3">
      <w:pPr>
        <w:spacing w:before="120" w:after="120"/>
        <w:rPr>
          <w:sz w:val="21"/>
          <w:szCs w:val="22"/>
        </w:rPr>
      </w:pPr>
      <w:r>
        <w:t xml:space="preserve">This paper discusses physical layer structures of sidelink, </w:t>
      </w:r>
      <w:r>
        <w:rPr>
          <w:rFonts w:hint="eastAsia"/>
        </w:rPr>
        <w:t xml:space="preserve">presented </w:t>
      </w:r>
      <w:r>
        <w:t>with the following</w:t>
      </w:r>
      <w:r>
        <w:rPr>
          <w:rFonts w:hint="eastAsia"/>
        </w:rPr>
        <w:t xml:space="preserve"> observations and</w:t>
      </w:r>
      <w:r>
        <w:t xml:space="preserve"> proposals:</w:t>
      </w:r>
    </w:p>
    <w:p w:rsidR="00903E0B" w:rsidRDefault="00371FC3">
      <w:pPr>
        <w:pStyle w:val="TOC1"/>
        <w:tabs>
          <w:tab w:val="left" w:pos="1540"/>
          <w:tab w:val="right" w:pos="9650"/>
        </w:tabs>
        <w:spacing w:before="120" w:after="120"/>
        <w:rPr>
          <w:rFonts w:asciiTheme="minorHAnsi" w:hAnsiTheme="minorHAnsi" w:cstheme="minorBidi"/>
          <w:b w:val="0"/>
          <w:i w:val="0"/>
          <w:noProof/>
          <w:kern w:val="0"/>
          <w:sz w:val="22"/>
          <w:szCs w:val="22"/>
        </w:rPr>
      </w:pPr>
      <w:r>
        <w:rPr>
          <w:sz w:val="21"/>
          <w:szCs w:val="22"/>
        </w:rPr>
        <w:fldChar w:fldCharType="begin"/>
      </w:r>
      <w:r>
        <w:rPr>
          <w:sz w:val="21"/>
          <w:szCs w:val="22"/>
        </w:rPr>
        <w:instrText>TOC \n  \t "YJ-Observation,1" \h</w:instrText>
      </w:r>
      <w:r>
        <w:rPr>
          <w:sz w:val="21"/>
          <w:szCs w:val="22"/>
        </w:rPr>
        <w:fldChar w:fldCharType="separate"/>
      </w:r>
      <w:hyperlink w:anchor="_Toc7752381" w:history="1">
        <w:r w:rsidR="00903E0B" w:rsidRPr="00163A24">
          <w:rPr>
            <w:rStyle w:val="Hyperlink"/>
            <w:rFonts w:eastAsia="SimSun"/>
            <w:noProof/>
          </w:rPr>
          <w:t>Observation 1:</w:t>
        </w:r>
        <w:r w:rsidR="00903E0B">
          <w:rPr>
            <w:rFonts w:asciiTheme="minorHAnsi" w:hAnsiTheme="minorHAnsi" w:cstheme="minorBidi"/>
            <w:b w:val="0"/>
            <w:i w:val="0"/>
            <w:noProof/>
            <w:kern w:val="0"/>
            <w:sz w:val="22"/>
            <w:szCs w:val="22"/>
          </w:rPr>
          <w:tab/>
        </w:r>
        <w:r w:rsidR="00903E0B" w:rsidRPr="00163A24">
          <w:rPr>
            <w:rStyle w:val="Hyperlink"/>
            <w:noProof/>
          </w:rPr>
          <w:t>Even with the same SCS in SL BWP and active Uu UL BWP, the switching interval between SL BWP and active Uu BWP can be too large to be ignored.</w:t>
        </w:r>
      </w:hyperlink>
    </w:p>
    <w:p w:rsidR="00903E0B" w:rsidRDefault="00903E0B">
      <w:pPr>
        <w:pStyle w:val="TOC1"/>
        <w:tabs>
          <w:tab w:val="left" w:pos="1540"/>
          <w:tab w:val="right" w:pos="9650"/>
        </w:tabs>
        <w:spacing w:before="120" w:after="120"/>
        <w:rPr>
          <w:rFonts w:asciiTheme="minorHAnsi" w:hAnsiTheme="minorHAnsi" w:cstheme="minorBidi"/>
          <w:b w:val="0"/>
          <w:i w:val="0"/>
          <w:noProof/>
          <w:kern w:val="0"/>
          <w:sz w:val="22"/>
          <w:szCs w:val="22"/>
        </w:rPr>
      </w:pPr>
      <w:hyperlink w:anchor="_Toc7752382" w:history="1">
        <w:r w:rsidRPr="00163A24">
          <w:rPr>
            <w:rStyle w:val="Hyperlink"/>
            <w:rFonts w:eastAsia="SimSun"/>
            <w:noProof/>
          </w:rPr>
          <w:t>Observation 2:</w:t>
        </w:r>
        <w:r>
          <w:rPr>
            <w:rFonts w:asciiTheme="minorHAnsi" w:hAnsiTheme="minorHAnsi" w:cstheme="minorBidi"/>
            <w:b w:val="0"/>
            <w:i w:val="0"/>
            <w:noProof/>
            <w:kern w:val="0"/>
            <w:sz w:val="22"/>
            <w:szCs w:val="22"/>
          </w:rPr>
          <w:tab/>
        </w:r>
        <w:r w:rsidRPr="00163A24">
          <w:rPr>
            <w:rStyle w:val="Hyperlink"/>
            <w:noProof/>
          </w:rPr>
          <w:t>UEs should have common understanding of slot aggregation for PSCCH/PSSCH resources in a sidelink resource pool.</w:t>
        </w:r>
      </w:hyperlink>
    </w:p>
    <w:p w:rsidR="00903E0B" w:rsidRDefault="00903E0B">
      <w:pPr>
        <w:pStyle w:val="TOC1"/>
        <w:tabs>
          <w:tab w:val="left" w:pos="1540"/>
          <w:tab w:val="right" w:pos="9650"/>
        </w:tabs>
        <w:spacing w:before="120" w:after="120"/>
        <w:rPr>
          <w:rFonts w:asciiTheme="minorHAnsi" w:hAnsiTheme="minorHAnsi" w:cstheme="minorBidi"/>
          <w:b w:val="0"/>
          <w:i w:val="0"/>
          <w:noProof/>
          <w:kern w:val="0"/>
          <w:sz w:val="22"/>
          <w:szCs w:val="22"/>
        </w:rPr>
      </w:pPr>
      <w:hyperlink w:anchor="_Toc7752383" w:history="1">
        <w:r w:rsidRPr="00163A24">
          <w:rPr>
            <w:rStyle w:val="Hyperlink"/>
            <w:rFonts w:eastAsia="SimSun"/>
            <w:noProof/>
          </w:rPr>
          <w:t>Observation 3:</w:t>
        </w:r>
        <w:r>
          <w:rPr>
            <w:rFonts w:asciiTheme="minorHAnsi" w:hAnsiTheme="minorHAnsi" w:cstheme="minorBidi"/>
            <w:b w:val="0"/>
            <w:i w:val="0"/>
            <w:noProof/>
            <w:kern w:val="0"/>
            <w:sz w:val="22"/>
            <w:szCs w:val="22"/>
          </w:rPr>
          <w:tab/>
        </w:r>
        <w:r w:rsidRPr="00163A24">
          <w:rPr>
            <w:rStyle w:val="Hyperlink"/>
            <w:noProof/>
          </w:rPr>
          <w:t>Single-stage SCI provides better performance than two-stage SCI scheme.</w:t>
        </w:r>
      </w:hyperlink>
    </w:p>
    <w:p w:rsidR="00650448" w:rsidRDefault="00371FC3">
      <w:pPr>
        <w:spacing w:before="120" w:after="120"/>
        <w:rPr>
          <w:sz w:val="21"/>
          <w:szCs w:val="22"/>
        </w:rPr>
      </w:pPr>
      <w:r>
        <w:rPr>
          <w:szCs w:val="22"/>
        </w:rPr>
        <w:fldChar w:fldCharType="end"/>
      </w:r>
    </w:p>
    <w:bookmarkStart w:id="57" w:name="_GoBack"/>
    <w:bookmarkEnd w:id="57"/>
    <w:p w:rsidR="00903E0B" w:rsidRDefault="00371FC3">
      <w:pPr>
        <w:pStyle w:val="TOC1"/>
        <w:tabs>
          <w:tab w:val="left" w:pos="1320"/>
          <w:tab w:val="right" w:pos="9650"/>
        </w:tabs>
        <w:spacing w:before="120" w:after="120"/>
        <w:rPr>
          <w:rFonts w:asciiTheme="minorHAnsi" w:hAnsiTheme="minorHAnsi" w:cstheme="minorBidi"/>
          <w:b w:val="0"/>
          <w:i w:val="0"/>
          <w:noProof/>
          <w:kern w:val="0"/>
          <w:sz w:val="22"/>
          <w:szCs w:val="22"/>
        </w:rPr>
      </w:pPr>
      <w:r>
        <w:fldChar w:fldCharType="begin"/>
      </w:r>
      <w:r>
        <w:instrText>TOC \n  \t "YJ-Proposal,1" \h</w:instrText>
      </w:r>
      <w:r>
        <w:fldChar w:fldCharType="separate"/>
      </w:r>
      <w:hyperlink w:anchor="_Toc7752384" w:history="1">
        <w:r w:rsidR="00903E0B" w:rsidRPr="00A64086">
          <w:rPr>
            <w:rStyle w:val="Hyperlink"/>
            <w:rFonts w:eastAsia="SimSun"/>
            <w:noProof/>
          </w:rPr>
          <w:t>Proposal 1:</w:t>
        </w:r>
        <w:r w:rsidR="00903E0B">
          <w:rPr>
            <w:rFonts w:asciiTheme="minorHAnsi" w:hAnsiTheme="minorHAnsi" w:cstheme="minorBidi"/>
            <w:b w:val="0"/>
            <w:i w:val="0"/>
            <w:noProof/>
            <w:kern w:val="0"/>
            <w:sz w:val="22"/>
            <w:szCs w:val="22"/>
          </w:rPr>
          <w:tab/>
        </w:r>
        <w:r w:rsidR="00903E0B" w:rsidRPr="00A64086">
          <w:rPr>
            <w:rStyle w:val="Hyperlink"/>
            <w:noProof/>
          </w:rPr>
          <w:t>From UE’s perspective, the same location and bandwidth should be configured for SL BWP and Uu UL BWP.</w:t>
        </w:r>
      </w:hyperlink>
    </w:p>
    <w:p w:rsidR="00903E0B" w:rsidRDefault="00903E0B">
      <w:pPr>
        <w:pStyle w:val="TOC1"/>
        <w:tabs>
          <w:tab w:val="left" w:pos="1320"/>
          <w:tab w:val="right" w:pos="9650"/>
        </w:tabs>
        <w:spacing w:before="120" w:after="120"/>
        <w:rPr>
          <w:rFonts w:asciiTheme="minorHAnsi" w:hAnsiTheme="minorHAnsi" w:cstheme="minorBidi"/>
          <w:b w:val="0"/>
          <w:i w:val="0"/>
          <w:noProof/>
          <w:kern w:val="0"/>
          <w:sz w:val="22"/>
          <w:szCs w:val="22"/>
        </w:rPr>
      </w:pPr>
      <w:hyperlink w:anchor="_Toc7752385" w:history="1">
        <w:r w:rsidRPr="00A64086">
          <w:rPr>
            <w:rStyle w:val="Hyperlink"/>
            <w:rFonts w:eastAsia="SimSun"/>
            <w:noProof/>
          </w:rPr>
          <w:t>Proposal 2:</w:t>
        </w:r>
        <w:r>
          <w:rPr>
            <w:rFonts w:asciiTheme="minorHAnsi" w:hAnsiTheme="minorHAnsi" w:cstheme="minorBidi"/>
            <w:b w:val="0"/>
            <w:i w:val="0"/>
            <w:noProof/>
            <w:kern w:val="0"/>
            <w:sz w:val="22"/>
            <w:szCs w:val="22"/>
          </w:rPr>
          <w:tab/>
        </w:r>
        <w:r w:rsidRPr="00A64086">
          <w:rPr>
            <w:rStyle w:val="Hyperlink"/>
            <w:noProof/>
          </w:rPr>
          <w:t>The time resources for NR sidelink can be configured from both UL (U) symbols and flexible (F) symbols.</w:t>
        </w:r>
      </w:hyperlink>
    </w:p>
    <w:p w:rsidR="00903E0B" w:rsidRDefault="00903E0B">
      <w:pPr>
        <w:pStyle w:val="TOC1"/>
        <w:tabs>
          <w:tab w:val="left" w:pos="1320"/>
          <w:tab w:val="right" w:pos="9650"/>
        </w:tabs>
        <w:spacing w:before="120" w:after="120"/>
        <w:rPr>
          <w:rFonts w:asciiTheme="minorHAnsi" w:hAnsiTheme="minorHAnsi" w:cstheme="minorBidi"/>
          <w:b w:val="0"/>
          <w:i w:val="0"/>
          <w:noProof/>
          <w:kern w:val="0"/>
          <w:sz w:val="22"/>
          <w:szCs w:val="22"/>
        </w:rPr>
      </w:pPr>
      <w:hyperlink w:anchor="_Toc7752386" w:history="1">
        <w:r w:rsidRPr="00A64086">
          <w:rPr>
            <w:rStyle w:val="Hyperlink"/>
            <w:rFonts w:eastAsia="SimSun"/>
            <w:noProof/>
          </w:rPr>
          <w:t>Proposal 3:</w:t>
        </w:r>
        <w:r>
          <w:rPr>
            <w:rFonts w:asciiTheme="minorHAnsi" w:hAnsiTheme="minorHAnsi" w:cstheme="minorBidi"/>
            <w:b w:val="0"/>
            <w:i w:val="0"/>
            <w:noProof/>
            <w:kern w:val="0"/>
            <w:sz w:val="22"/>
            <w:szCs w:val="22"/>
          </w:rPr>
          <w:tab/>
        </w:r>
        <w:r w:rsidRPr="00A64086">
          <w:rPr>
            <w:rStyle w:val="Hyperlink"/>
            <w:noProof/>
          </w:rPr>
          <w:t>For the resource multiplexing between NR Uu and sidelink within a slot, the subset of symbols for sidelink should not be assumed starting from the first symbol in a slot.</w:t>
        </w:r>
      </w:hyperlink>
    </w:p>
    <w:p w:rsidR="00903E0B" w:rsidRDefault="00903E0B">
      <w:pPr>
        <w:pStyle w:val="TOC1"/>
        <w:tabs>
          <w:tab w:val="left" w:pos="1320"/>
          <w:tab w:val="right" w:pos="9650"/>
        </w:tabs>
        <w:spacing w:before="120" w:after="120"/>
        <w:rPr>
          <w:rFonts w:asciiTheme="minorHAnsi" w:hAnsiTheme="minorHAnsi" w:cstheme="minorBidi"/>
          <w:b w:val="0"/>
          <w:i w:val="0"/>
          <w:noProof/>
          <w:kern w:val="0"/>
          <w:sz w:val="22"/>
          <w:szCs w:val="22"/>
        </w:rPr>
      </w:pPr>
      <w:hyperlink w:anchor="_Toc7752387" w:history="1">
        <w:r w:rsidRPr="00A64086">
          <w:rPr>
            <w:rStyle w:val="Hyperlink"/>
            <w:rFonts w:eastAsia="SimSun"/>
            <w:noProof/>
          </w:rPr>
          <w:t>Proposal 4:</w:t>
        </w:r>
        <w:r>
          <w:rPr>
            <w:rFonts w:asciiTheme="minorHAnsi" w:hAnsiTheme="minorHAnsi" w:cstheme="minorBidi"/>
            <w:b w:val="0"/>
            <w:i w:val="0"/>
            <w:noProof/>
            <w:kern w:val="0"/>
            <w:sz w:val="22"/>
            <w:szCs w:val="22"/>
          </w:rPr>
          <w:tab/>
        </w:r>
        <w:r w:rsidRPr="00A64086">
          <w:rPr>
            <w:rStyle w:val="Hyperlink"/>
            <w:noProof/>
          </w:rPr>
          <w:t>The frequency domain resources of a resource pool always consist of contiguous PRBs.</w:t>
        </w:r>
      </w:hyperlink>
    </w:p>
    <w:p w:rsidR="00903E0B" w:rsidRDefault="00903E0B">
      <w:pPr>
        <w:pStyle w:val="TOC1"/>
        <w:tabs>
          <w:tab w:val="left" w:pos="1320"/>
          <w:tab w:val="right" w:pos="9650"/>
        </w:tabs>
        <w:spacing w:before="120" w:after="120"/>
        <w:rPr>
          <w:rFonts w:asciiTheme="minorHAnsi" w:hAnsiTheme="minorHAnsi" w:cstheme="minorBidi"/>
          <w:b w:val="0"/>
          <w:i w:val="0"/>
          <w:noProof/>
          <w:kern w:val="0"/>
          <w:sz w:val="22"/>
          <w:szCs w:val="22"/>
        </w:rPr>
      </w:pPr>
      <w:hyperlink w:anchor="_Toc7752388" w:history="1">
        <w:r w:rsidRPr="00A64086">
          <w:rPr>
            <w:rStyle w:val="Hyperlink"/>
            <w:rFonts w:eastAsia="SimSun"/>
            <w:noProof/>
          </w:rPr>
          <w:t>Proposal 5:</w:t>
        </w:r>
        <w:r>
          <w:rPr>
            <w:rFonts w:asciiTheme="minorHAnsi" w:hAnsiTheme="minorHAnsi" w:cstheme="minorBidi"/>
            <w:b w:val="0"/>
            <w:i w:val="0"/>
            <w:noProof/>
            <w:kern w:val="0"/>
            <w:sz w:val="22"/>
            <w:szCs w:val="22"/>
          </w:rPr>
          <w:tab/>
        </w:r>
        <w:r w:rsidRPr="00A64086">
          <w:rPr>
            <w:rStyle w:val="Hyperlink"/>
            <w:noProof/>
          </w:rPr>
          <w:t>Within a resource pool, all sub-channels have the same size (in terms of number of RBs). The sub-channel size should be (pre-)configured.</w:t>
        </w:r>
      </w:hyperlink>
    </w:p>
    <w:p w:rsidR="00903E0B" w:rsidRDefault="00903E0B">
      <w:pPr>
        <w:pStyle w:val="TOC1"/>
        <w:tabs>
          <w:tab w:val="left" w:pos="1320"/>
          <w:tab w:val="right" w:pos="9650"/>
        </w:tabs>
        <w:spacing w:before="120" w:after="120"/>
        <w:rPr>
          <w:rFonts w:asciiTheme="minorHAnsi" w:hAnsiTheme="minorHAnsi" w:cstheme="minorBidi"/>
          <w:b w:val="0"/>
          <w:i w:val="0"/>
          <w:noProof/>
          <w:kern w:val="0"/>
          <w:sz w:val="22"/>
          <w:szCs w:val="22"/>
        </w:rPr>
      </w:pPr>
      <w:hyperlink w:anchor="_Toc7752389" w:history="1">
        <w:r w:rsidRPr="00A64086">
          <w:rPr>
            <w:rStyle w:val="Hyperlink"/>
            <w:rFonts w:eastAsia="SimSun"/>
            <w:noProof/>
          </w:rPr>
          <w:t>Proposal 6:</w:t>
        </w:r>
        <w:r>
          <w:rPr>
            <w:rFonts w:asciiTheme="minorHAnsi" w:hAnsiTheme="minorHAnsi" w:cstheme="minorBidi"/>
            <w:b w:val="0"/>
            <w:i w:val="0"/>
            <w:noProof/>
            <w:kern w:val="0"/>
            <w:sz w:val="22"/>
            <w:szCs w:val="22"/>
          </w:rPr>
          <w:tab/>
        </w:r>
        <w:r w:rsidRPr="00A64086">
          <w:rPr>
            <w:rStyle w:val="Hyperlink"/>
            <w:noProof/>
          </w:rPr>
          <w:t>Slot aggregation for PSCCH/PSSCH should be (pre-)configured per resource pool.</w:t>
        </w:r>
      </w:hyperlink>
    </w:p>
    <w:p w:rsidR="00903E0B" w:rsidRDefault="00903E0B">
      <w:pPr>
        <w:pStyle w:val="TOC1"/>
        <w:tabs>
          <w:tab w:val="left" w:pos="1320"/>
          <w:tab w:val="right" w:pos="9650"/>
        </w:tabs>
        <w:spacing w:before="120" w:after="120"/>
        <w:rPr>
          <w:rFonts w:asciiTheme="minorHAnsi" w:hAnsiTheme="minorHAnsi" w:cstheme="minorBidi"/>
          <w:b w:val="0"/>
          <w:i w:val="0"/>
          <w:noProof/>
          <w:kern w:val="0"/>
          <w:sz w:val="22"/>
          <w:szCs w:val="22"/>
        </w:rPr>
      </w:pPr>
      <w:hyperlink w:anchor="_Toc7752390" w:history="1">
        <w:r w:rsidRPr="00A64086">
          <w:rPr>
            <w:rStyle w:val="Hyperlink"/>
            <w:rFonts w:eastAsia="SimSun"/>
            <w:noProof/>
          </w:rPr>
          <w:t>Proposal 7:</w:t>
        </w:r>
        <w:r>
          <w:rPr>
            <w:rFonts w:asciiTheme="minorHAnsi" w:hAnsiTheme="minorHAnsi" w:cstheme="minorBidi"/>
            <w:b w:val="0"/>
            <w:i w:val="0"/>
            <w:noProof/>
            <w:kern w:val="0"/>
            <w:sz w:val="22"/>
            <w:szCs w:val="22"/>
          </w:rPr>
          <w:tab/>
        </w:r>
        <w:r w:rsidRPr="00A64086">
          <w:rPr>
            <w:rStyle w:val="Hyperlink"/>
            <w:noProof/>
          </w:rPr>
          <w:t>One PSCCH resource unit is defined as a block of time-frequency resources across l</w:t>
        </w:r>
        <w:r w:rsidRPr="00A64086">
          <w:rPr>
            <w:rStyle w:val="Hyperlink"/>
            <w:noProof/>
            <w:vertAlign w:val="subscript"/>
          </w:rPr>
          <w:t xml:space="preserve">0 </w:t>
        </w:r>
        <w:r w:rsidRPr="00A64086">
          <w:rPr>
            <w:rStyle w:val="Hyperlink"/>
            <w:noProof/>
          </w:rPr>
          <w:t>symbols and k</w:t>
        </w:r>
        <w:r w:rsidRPr="00A64086">
          <w:rPr>
            <w:rStyle w:val="Hyperlink"/>
            <w:noProof/>
            <w:vertAlign w:val="subscript"/>
          </w:rPr>
          <w:t xml:space="preserve">0 </w:t>
        </w:r>
        <w:r w:rsidRPr="00A64086">
          <w:rPr>
            <w:rStyle w:val="Hyperlink"/>
            <w:noProof/>
          </w:rPr>
          <w:t>RBs, where both l</w:t>
        </w:r>
        <w:r w:rsidRPr="00A64086">
          <w:rPr>
            <w:rStyle w:val="Hyperlink"/>
            <w:noProof/>
            <w:vertAlign w:val="subscript"/>
          </w:rPr>
          <w:t>0</w:t>
        </w:r>
        <w:r w:rsidRPr="00A64086">
          <w:rPr>
            <w:rStyle w:val="Hyperlink"/>
            <w:noProof/>
          </w:rPr>
          <w:t xml:space="preserve"> and k</w:t>
        </w:r>
        <w:r w:rsidRPr="00A64086">
          <w:rPr>
            <w:rStyle w:val="Hyperlink"/>
            <w:noProof/>
            <w:vertAlign w:val="subscript"/>
          </w:rPr>
          <w:t xml:space="preserve">0 </w:t>
        </w:r>
        <w:r w:rsidRPr="00A64086">
          <w:rPr>
            <w:rStyle w:val="Hyperlink"/>
            <w:noProof/>
          </w:rPr>
          <w:t>are fixed numbers defined separately for FR1 and FR2.</w:t>
        </w:r>
      </w:hyperlink>
    </w:p>
    <w:p w:rsidR="00903E0B" w:rsidRDefault="00903E0B">
      <w:pPr>
        <w:pStyle w:val="TOC1"/>
        <w:tabs>
          <w:tab w:val="left" w:pos="1320"/>
          <w:tab w:val="right" w:pos="9650"/>
        </w:tabs>
        <w:spacing w:before="120" w:after="120"/>
        <w:rPr>
          <w:rFonts w:asciiTheme="minorHAnsi" w:hAnsiTheme="minorHAnsi" w:cstheme="minorBidi"/>
          <w:b w:val="0"/>
          <w:i w:val="0"/>
          <w:noProof/>
          <w:kern w:val="0"/>
          <w:sz w:val="22"/>
          <w:szCs w:val="22"/>
        </w:rPr>
      </w:pPr>
      <w:hyperlink w:anchor="_Toc7752391" w:history="1">
        <w:r w:rsidRPr="00A64086">
          <w:rPr>
            <w:rStyle w:val="Hyperlink"/>
            <w:rFonts w:eastAsia="SimSun"/>
            <w:noProof/>
          </w:rPr>
          <w:t>Proposal 8:</w:t>
        </w:r>
        <w:r>
          <w:rPr>
            <w:rFonts w:asciiTheme="minorHAnsi" w:hAnsiTheme="minorHAnsi" w:cstheme="minorBidi"/>
            <w:b w:val="0"/>
            <w:i w:val="0"/>
            <w:noProof/>
            <w:kern w:val="0"/>
            <w:sz w:val="22"/>
            <w:szCs w:val="22"/>
          </w:rPr>
          <w:tab/>
        </w:r>
        <w:r w:rsidRPr="00A64086">
          <w:rPr>
            <w:rStyle w:val="Hyperlink"/>
            <w:rFonts w:eastAsia="SimSun"/>
            <w:noProof/>
          </w:rPr>
          <w:t>In time domain, a PSCCH resource starts from the first sidelink symbol within a slot.</w:t>
        </w:r>
      </w:hyperlink>
    </w:p>
    <w:p w:rsidR="00903E0B" w:rsidRDefault="00903E0B">
      <w:pPr>
        <w:pStyle w:val="TOC1"/>
        <w:tabs>
          <w:tab w:val="left" w:pos="1320"/>
          <w:tab w:val="right" w:pos="9650"/>
        </w:tabs>
        <w:spacing w:before="120" w:after="120"/>
        <w:rPr>
          <w:rFonts w:asciiTheme="minorHAnsi" w:hAnsiTheme="minorHAnsi" w:cstheme="minorBidi"/>
          <w:b w:val="0"/>
          <w:i w:val="0"/>
          <w:noProof/>
          <w:kern w:val="0"/>
          <w:sz w:val="22"/>
          <w:szCs w:val="22"/>
        </w:rPr>
      </w:pPr>
      <w:hyperlink w:anchor="_Toc7752392" w:history="1">
        <w:r w:rsidRPr="00A64086">
          <w:rPr>
            <w:rStyle w:val="Hyperlink"/>
            <w:rFonts w:eastAsia="SimSun"/>
            <w:noProof/>
          </w:rPr>
          <w:t>Proposal 9:</w:t>
        </w:r>
        <w:r>
          <w:rPr>
            <w:rFonts w:asciiTheme="minorHAnsi" w:hAnsiTheme="minorHAnsi" w:cstheme="minorBidi"/>
            <w:b w:val="0"/>
            <w:i w:val="0"/>
            <w:noProof/>
            <w:kern w:val="0"/>
            <w:sz w:val="22"/>
            <w:szCs w:val="22"/>
          </w:rPr>
          <w:tab/>
        </w:r>
        <w:r w:rsidRPr="00A64086">
          <w:rPr>
            <w:rStyle w:val="Hyperlink"/>
            <w:rFonts w:eastAsia="SimSun"/>
            <w:noProof/>
          </w:rPr>
          <w:t>In frequency domain, a PSCCH resource starts from the lowest RB within a sub-channel.</w:t>
        </w:r>
      </w:hyperlink>
    </w:p>
    <w:p w:rsidR="00903E0B" w:rsidRDefault="00903E0B">
      <w:pPr>
        <w:pStyle w:val="TOC1"/>
        <w:tabs>
          <w:tab w:val="left" w:pos="1320"/>
          <w:tab w:val="right" w:pos="9650"/>
        </w:tabs>
        <w:spacing w:before="120" w:after="120"/>
        <w:rPr>
          <w:rFonts w:asciiTheme="minorHAnsi" w:hAnsiTheme="minorHAnsi" w:cstheme="minorBidi"/>
          <w:b w:val="0"/>
          <w:i w:val="0"/>
          <w:noProof/>
          <w:kern w:val="0"/>
          <w:sz w:val="22"/>
          <w:szCs w:val="22"/>
        </w:rPr>
      </w:pPr>
      <w:hyperlink w:anchor="_Toc7752393" w:history="1">
        <w:r w:rsidRPr="00A64086">
          <w:rPr>
            <w:rStyle w:val="Hyperlink"/>
            <w:rFonts w:eastAsia="SimSun"/>
            <w:noProof/>
          </w:rPr>
          <w:t>Proposal 10:</w:t>
        </w:r>
        <w:r>
          <w:rPr>
            <w:rFonts w:asciiTheme="minorHAnsi" w:hAnsiTheme="minorHAnsi" w:cstheme="minorBidi"/>
            <w:b w:val="0"/>
            <w:i w:val="0"/>
            <w:noProof/>
            <w:kern w:val="0"/>
            <w:sz w:val="22"/>
            <w:szCs w:val="22"/>
          </w:rPr>
          <w:tab/>
        </w:r>
        <w:r w:rsidRPr="00A64086">
          <w:rPr>
            <w:rStyle w:val="Hyperlink"/>
            <w:noProof/>
          </w:rPr>
          <w:t>PSFCH resources should TDM with PSCCH/PSSCH resources within one slot.</w:t>
        </w:r>
      </w:hyperlink>
    </w:p>
    <w:p w:rsidR="00903E0B" w:rsidRDefault="00903E0B">
      <w:pPr>
        <w:pStyle w:val="TOC1"/>
        <w:tabs>
          <w:tab w:val="left" w:pos="1320"/>
          <w:tab w:val="right" w:pos="9650"/>
        </w:tabs>
        <w:spacing w:before="120" w:after="120"/>
        <w:rPr>
          <w:rFonts w:asciiTheme="minorHAnsi" w:hAnsiTheme="minorHAnsi" w:cstheme="minorBidi"/>
          <w:b w:val="0"/>
          <w:i w:val="0"/>
          <w:noProof/>
          <w:kern w:val="0"/>
          <w:sz w:val="22"/>
          <w:szCs w:val="22"/>
        </w:rPr>
      </w:pPr>
      <w:hyperlink w:anchor="_Toc7752394" w:history="1">
        <w:r w:rsidRPr="00A64086">
          <w:rPr>
            <w:rStyle w:val="Hyperlink"/>
            <w:rFonts w:eastAsia="SimSun"/>
            <w:noProof/>
          </w:rPr>
          <w:t>Proposal 11:</w:t>
        </w:r>
        <w:r>
          <w:rPr>
            <w:rFonts w:asciiTheme="minorHAnsi" w:hAnsiTheme="minorHAnsi" w:cstheme="minorBidi"/>
            <w:b w:val="0"/>
            <w:i w:val="0"/>
            <w:noProof/>
            <w:kern w:val="0"/>
            <w:sz w:val="22"/>
            <w:szCs w:val="22"/>
          </w:rPr>
          <w:tab/>
        </w:r>
        <w:r w:rsidRPr="00A64086">
          <w:rPr>
            <w:rStyle w:val="Hyperlink"/>
            <w:noProof/>
          </w:rPr>
          <w:t>A GP should be allocated between PSSCH and PSFCH resources within one slot.</w:t>
        </w:r>
      </w:hyperlink>
    </w:p>
    <w:p w:rsidR="00903E0B" w:rsidRDefault="00903E0B">
      <w:pPr>
        <w:pStyle w:val="TOC1"/>
        <w:tabs>
          <w:tab w:val="left" w:pos="1320"/>
          <w:tab w:val="right" w:pos="9650"/>
        </w:tabs>
        <w:spacing w:before="120" w:after="120"/>
        <w:rPr>
          <w:rFonts w:asciiTheme="minorHAnsi" w:hAnsiTheme="minorHAnsi" w:cstheme="minorBidi"/>
          <w:b w:val="0"/>
          <w:i w:val="0"/>
          <w:noProof/>
          <w:kern w:val="0"/>
          <w:sz w:val="22"/>
          <w:szCs w:val="22"/>
        </w:rPr>
      </w:pPr>
      <w:hyperlink w:anchor="_Toc7752395" w:history="1">
        <w:r w:rsidRPr="00A64086">
          <w:rPr>
            <w:rStyle w:val="Hyperlink"/>
            <w:rFonts w:eastAsia="SimSun"/>
            <w:noProof/>
          </w:rPr>
          <w:t>Proposal 12:</w:t>
        </w:r>
        <w:r>
          <w:rPr>
            <w:rFonts w:asciiTheme="minorHAnsi" w:hAnsiTheme="minorHAnsi" w:cstheme="minorBidi"/>
            <w:b w:val="0"/>
            <w:i w:val="0"/>
            <w:noProof/>
            <w:kern w:val="0"/>
            <w:sz w:val="22"/>
            <w:szCs w:val="22"/>
          </w:rPr>
          <w:tab/>
        </w:r>
        <w:r w:rsidRPr="00A64086">
          <w:rPr>
            <w:rStyle w:val="Hyperlink"/>
            <w:noProof/>
          </w:rPr>
          <w:t>The UE is allowed to transmit both PSCCH/PSSCH and PSFCH within one slot.</w:t>
        </w:r>
      </w:hyperlink>
    </w:p>
    <w:p w:rsidR="00903E0B" w:rsidRDefault="00903E0B">
      <w:pPr>
        <w:pStyle w:val="TOC1"/>
        <w:tabs>
          <w:tab w:val="left" w:pos="1320"/>
          <w:tab w:val="right" w:pos="9650"/>
        </w:tabs>
        <w:spacing w:before="120" w:after="120"/>
        <w:rPr>
          <w:rFonts w:asciiTheme="minorHAnsi" w:hAnsiTheme="minorHAnsi" w:cstheme="minorBidi"/>
          <w:b w:val="0"/>
          <w:i w:val="0"/>
          <w:noProof/>
          <w:kern w:val="0"/>
          <w:sz w:val="22"/>
          <w:szCs w:val="22"/>
        </w:rPr>
      </w:pPr>
      <w:hyperlink w:anchor="_Toc7752396" w:history="1">
        <w:r w:rsidRPr="00A64086">
          <w:rPr>
            <w:rStyle w:val="Hyperlink"/>
            <w:rFonts w:eastAsia="SimSun"/>
            <w:noProof/>
          </w:rPr>
          <w:t>Proposal 13:</w:t>
        </w:r>
        <w:r>
          <w:rPr>
            <w:rFonts w:asciiTheme="minorHAnsi" w:hAnsiTheme="minorHAnsi" w:cstheme="minorBidi"/>
            <w:b w:val="0"/>
            <w:i w:val="0"/>
            <w:noProof/>
            <w:kern w:val="0"/>
            <w:sz w:val="22"/>
            <w:szCs w:val="22"/>
          </w:rPr>
          <w:tab/>
        </w:r>
        <w:r w:rsidRPr="00A64086">
          <w:rPr>
            <w:rStyle w:val="Hyperlink"/>
            <w:noProof/>
          </w:rPr>
          <w:t>In a sidelink resource pool, PFSCH resources should be (pre-)configured with a fix-size channel unit, i.e. one PSFCH resource contains fixed numbers of symbols and RBs.</w:t>
        </w:r>
      </w:hyperlink>
    </w:p>
    <w:p w:rsidR="00903E0B" w:rsidRDefault="00903E0B">
      <w:pPr>
        <w:pStyle w:val="TOC1"/>
        <w:tabs>
          <w:tab w:val="left" w:pos="1320"/>
          <w:tab w:val="right" w:pos="9650"/>
        </w:tabs>
        <w:spacing w:before="120" w:after="120"/>
        <w:rPr>
          <w:rFonts w:asciiTheme="minorHAnsi" w:hAnsiTheme="minorHAnsi" w:cstheme="minorBidi"/>
          <w:b w:val="0"/>
          <w:i w:val="0"/>
          <w:noProof/>
          <w:kern w:val="0"/>
          <w:sz w:val="22"/>
          <w:szCs w:val="22"/>
        </w:rPr>
      </w:pPr>
      <w:hyperlink w:anchor="_Toc7752397" w:history="1">
        <w:r w:rsidRPr="00A64086">
          <w:rPr>
            <w:rStyle w:val="Hyperlink"/>
            <w:rFonts w:eastAsia="SimSun"/>
            <w:noProof/>
          </w:rPr>
          <w:t>Proposal 14:</w:t>
        </w:r>
        <w:r>
          <w:rPr>
            <w:rFonts w:asciiTheme="minorHAnsi" w:hAnsiTheme="minorHAnsi" w:cstheme="minorBidi"/>
            <w:b w:val="0"/>
            <w:i w:val="0"/>
            <w:noProof/>
            <w:kern w:val="0"/>
            <w:sz w:val="22"/>
            <w:szCs w:val="22"/>
          </w:rPr>
          <w:tab/>
        </w:r>
        <w:r w:rsidRPr="00A64086">
          <w:rPr>
            <w:rStyle w:val="Hyperlink"/>
            <w:noProof/>
          </w:rPr>
          <w:t>The slot interval between PSSCH and related PSFCH resources is k, where k is a logical slot interval arranged within sidelink resource pool.</w:t>
        </w:r>
      </w:hyperlink>
    </w:p>
    <w:p w:rsidR="00903E0B" w:rsidRDefault="00903E0B">
      <w:pPr>
        <w:pStyle w:val="TOC1"/>
        <w:tabs>
          <w:tab w:val="left" w:pos="1320"/>
          <w:tab w:val="right" w:pos="9650"/>
        </w:tabs>
        <w:spacing w:before="120" w:after="120"/>
        <w:rPr>
          <w:rFonts w:asciiTheme="minorHAnsi" w:hAnsiTheme="minorHAnsi" w:cstheme="minorBidi"/>
          <w:b w:val="0"/>
          <w:i w:val="0"/>
          <w:noProof/>
          <w:kern w:val="0"/>
          <w:sz w:val="22"/>
          <w:szCs w:val="22"/>
        </w:rPr>
      </w:pPr>
      <w:hyperlink w:anchor="_Toc7752398" w:history="1">
        <w:r w:rsidRPr="00A64086">
          <w:rPr>
            <w:rStyle w:val="Hyperlink"/>
            <w:rFonts w:eastAsia="SimSun"/>
            <w:noProof/>
          </w:rPr>
          <w:t>Proposal 15:</w:t>
        </w:r>
        <w:r>
          <w:rPr>
            <w:rFonts w:asciiTheme="minorHAnsi" w:hAnsiTheme="minorHAnsi" w:cstheme="minorBidi"/>
            <w:b w:val="0"/>
            <w:i w:val="0"/>
            <w:noProof/>
            <w:kern w:val="0"/>
            <w:sz w:val="22"/>
            <w:szCs w:val="22"/>
          </w:rPr>
          <w:tab/>
        </w:r>
        <w:r w:rsidRPr="00A64086">
          <w:rPr>
            <w:rStyle w:val="Hyperlink"/>
            <w:noProof/>
          </w:rPr>
          <w:t>PSFCH allocation period N &gt; 1 is supported only together with slot aggregation, where N equals to the slot aggregation size.</w:t>
        </w:r>
      </w:hyperlink>
    </w:p>
    <w:p w:rsidR="00903E0B" w:rsidRDefault="00903E0B">
      <w:pPr>
        <w:pStyle w:val="TOC1"/>
        <w:tabs>
          <w:tab w:val="left" w:pos="1320"/>
          <w:tab w:val="right" w:pos="9650"/>
        </w:tabs>
        <w:spacing w:before="120" w:after="120"/>
        <w:rPr>
          <w:rFonts w:asciiTheme="minorHAnsi" w:hAnsiTheme="minorHAnsi" w:cstheme="minorBidi"/>
          <w:b w:val="0"/>
          <w:i w:val="0"/>
          <w:noProof/>
          <w:kern w:val="0"/>
          <w:sz w:val="22"/>
          <w:szCs w:val="22"/>
        </w:rPr>
      </w:pPr>
      <w:hyperlink w:anchor="_Toc7752399" w:history="1">
        <w:r w:rsidRPr="00A64086">
          <w:rPr>
            <w:rStyle w:val="Hyperlink"/>
            <w:rFonts w:eastAsia="SimSun"/>
            <w:noProof/>
          </w:rPr>
          <w:t>Proposal 16:</w:t>
        </w:r>
        <w:r>
          <w:rPr>
            <w:rFonts w:asciiTheme="minorHAnsi" w:hAnsiTheme="minorHAnsi" w:cstheme="minorBidi"/>
            <w:b w:val="0"/>
            <w:i w:val="0"/>
            <w:noProof/>
            <w:kern w:val="0"/>
            <w:sz w:val="22"/>
            <w:szCs w:val="22"/>
          </w:rPr>
          <w:tab/>
        </w:r>
        <w:r w:rsidRPr="00A64086">
          <w:rPr>
            <w:rStyle w:val="Hyperlink"/>
            <w:rFonts w:eastAsia="SimSun"/>
            <w:noProof/>
          </w:rPr>
          <w:t>In time domain, a PSSCH resource starts from the first sidelink symbol within a slot.</w:t>
        </w:r>
      </w:hyperlink>
    </w:p>
    <w:p w:rsidR="00903E0B" w:rsidRDefault="00903E0B">
      <w:pPr>
        <w:pStyle w:val="TOC1"/>
        <w:tabs>
          <w:tab w:val="left" w:pos="1320"/>
          <w:tab w:val="right" w:pos="9650"/>
        </w:tabs>
        <w:spacing w:before="120" w:after="120"/>
        <w:rPr>
          <w:rFonts w:asciiTheme="minorHAnsi" w:hAnsiTheme="minorHAnsi" w:cstheme="minorBidi"/>
          <w:b w:val="0"/>
          <w:i w:val="0"/>
          <w:noProof/>
          <w:kern w:val="0"/>
          <w:sz w:val="22"/>
          <w:szCs w:val="22"/>
        </w:rPr>
      </w:pPr>
      <w:hyperlink w:anchor="_Toc7752400" w:history="1">
        <w:r w:rsidRPr="00A64086">
          <w:rPr>
            <w:rStyle w:val="Hyperlink"/>
            <w:rFonts w:eastAsia="SimSun"/>
            <w:noProof/>
          </w:rPr>
          <w:t>Proposal 17:</w:t>
        </w:r>
        <w:r>
          <w:rPr>
            <w:rFonts w:asciiTheme="minorHAnsi" w:hAnsiTheme="minorHAnsi" w:cstheme="minorBidi"/>
            <w:b w:val="0"/>
            <w:i w:val="0"/>
            <w:noProof/>
            <w:kern w:val="0"/>
            <w:sz w:val="22"/>
            <w:szCs w:val="22"/>
          </w:rPr>
          <w:tab/>
        </w:r>
        <w:r w:rsidRPr="00A64086">
          <w:rPr>
            <w:rStyle w:val="Hyperlink"/>
            <w:rFonts w:eastAsia="SimSun"/>
            <w:noProof/>
          </w:rPr>
          <w:t>Within a resource pool, do not support time multiplex of more than one PSSCH resources within one slot.</w:t>
        </w:r>
      </w:hyperlink>
    </w:p>
    <w:p w:rsidR="00903E0B" w:rsidRDefault="00903E0B">
      <w:pPr>
        <w:pStyle w:val="TOC1"/>
        <w:tabs>
          <w:tab w:val="left" w:pos="1320"/>
          <w:tab w:val="right" w:pos="9650"/>
        </w:tabs>
        <w:spacing w:before="120" w:after="120"/>
        <w:rPr>
          <w:rFonts w:asciiTheme="minorHAnsi" w:hAnsiTheme="minorHAnsi" w:cstheme="minorBidi"/>
          <w:b w:val="0"/>
          <w:i w:val="0"/>
          <w:noProof/>
          <w:kern w:val="0"/>
          <w:sz w:val="22"/>
          <w:szCs w:val="22"/>
        </w:rPr>
      </w:pPr>
      <w:hyperlink w:anchor="_Toc7752401" w:history="1">
        <w:r w:rsidRPr="00A64086">
          <w:rPr>
            <w:rStyle w:val="Hyperlink"/>
            <w:rFonts w:eastAsia="SimSun"/>
            <w:noProof/>
          </w:rPr>
          <w:t>Proposal 18:</w:t>
        </w:r>
        <w:r>
          <w:rPr>
            <w:rFonts w:asciiTheme="minorHAnsi" w:hAnsiTheme="minorHAnsi" w:cstheme="minorBidi"/>
            <w:b w:val="0"/>
            <w:i w:val="0"/>
            <w:noProof/>
            <w:kern w:val="0"/>
            <w:sz w:val="22"/>
            <w:szCs w:val="22"/>
          </w:rPr>
          <w:tab/>
        </w:r>
        <w:r w:rsidRPr="00A64086">
          <w:rPr>
            <w:rStyle w:val="Hyperlink"/>
            <w:noProof/>
          </w:rPr>
          <w:t>Fixed DMRS pattern should be defined within PSCCH resource unit.</w:t>
        </w:r>
      </w:hyperlink>
    </w:p>
    <w:p w:rsidR="00903E0B" w:rsidRDefault="00903E0B">
      <w:pPr>
        <w:pStyle w:val="TOC1"/>
        <w:tabs>
          <w:tab w:val="left" w:pos="1320"/>
          <w:tab w:val="right" w:pos="9650"/>
        </w:tabs>
        <w:spacing w:before="120" w:after="120"/>
        <w:rPr>
          <w:rFonts w:asciiTheme="minorHAnsi" w:hAnsiTheme="minorHAnsi" w:cstheme="minorBidi"/>
          <w:b w:val="0"/>
          <w:i w:val="0"/>
          <w:noProof/>
          <w:kern w:val="0"/>
          <w:sz w:val="22"/>
          <w:szCs w:val="22"/>
        </w:rPr>
      </w:pPr>
      <w:hyperlink w:anchor="_Toc7752402" w:history="1">
        <w:r w:rsidRPr="00A64086">
          <w:rPr>
            <w:rStyle w:val="Hyperlink"/>
            <w:rFonts w:eastAsia="SimSun"/>
            <w:noProof/>
          </w:rPr>
          <w:t>Proposal 19:</w:t>
        </w:r>
        <w:r>
          <w:rPr>
            <w:rFonts w:asciiTheme="minorHAnsi" w:hAnsiTheme="minorHAnsi" w:cstheme="minorBidi"/>
            <w:b w:val="0"/>
            <w:i w:val="0"/>
            <w:noProof/>
            <w:kern w:val="0"/>
            <w:sz w:val="22"/>
            <w:szCs w:val="22"/>
          </w:rPr>
          <w:tab/>
        </w:r>
        <w:r w:rsidRPr="00A64086">
          <w:rPr>
            <w:rStyle w:val="Hyperlink"/>
            <w:rFonts w:eastAsia="SimSun"/>
            <w:noProof/>
          </w:rPr>
          <w:t xml:space="preserve">For PSSCH, additional </w:t>
        </w:r>
        <w:r w:rsidRPr="00A64086">
          <w:rPr>
            <w:rStyle w:val="Hyperlink"/>
            <w:noProof/>
          </w:rPr>
          <w:t>DMRS should be used at least for broadcast communication.</w:t>
        </w:r>
      </w:hyperlink>
    </w:p>
    <w:p w:rsidR="00903E0B" w:rsidRDefault="00903E0B">
      <w:pPr>
        <w:pStyle w:val="TOC1"/>
        <w:tabs>
          <w:tab w:val="left" w:pos="1320"/>
          <w:tab w:val="right" w:pos="9650"/>
        </w:tabs>
        <w:spacing w:before="120" w:after="120"/>
        <w:rPr>
          <w:rFonts w:asciiTheme="minorHAnsi" w:hAnsiTheme="minorHAnsi" w:cstheme="minorBidi"/>
          <w:b w:val="0"/>
          <w:i w:val="0"/>
          <w:noProof/>
          <w:kern w:val="0"/>
          <w:sz w:val="22"/>
          <w:szCs w:val="22"/>
        </w:rPr>
      </w:pPr>
      <w:hyperlink w:anchor="_Toc7752403" w:history="1">
        <w:r w:rsidRPr="00A64086">
          <w:rPr>
            <w:rStyle w:val="Hyperlink"/>
            <w:rFonts w:eastAsia="SimSun"/>
            <w:noProof/>
          </w:rPr>
          <w:t>Proposal 20:</w:t>
        </w:r>
        <w:r>
          <w:rPr>
            <w:rFonts w:asciiTheme="minorHAnsi" w:hAnsiTheme="minorHAnsi" w:cstheme="minorBidi"/>
            <w:b w:val="0"/>
            <w:i w:val="0"/>
            <w:noProof/>
            <w:kern w:val="0"/>
            <w:sz w:val="22"/>
            <w:szCs w:val="22"/>
          </w:rPr>
          <w:tab/>
        </w:r>
        <w:r w:rsidRPr="00A64086">
          <w:rPr>
            <w:rStyle w:val="Hyperlink"/>
            <w:rFonts w:eastAsia="SimSun"/>
            <w:noProof/>
          </w:rPr>
          <w:t>For PSSCH, double</w:t>
        </w:r>
        <w:r w:rsidRPr="00A64086">
          <w:rPr>
            <w:rStyle w:val="Hyperlink"/>
            <w:noProof/>
          </w:rPr>
          <w:t>-symbol DMRS is not supported.</w:t>
        </w:r>
      </w:hyperlink>
    </w:p>
    <w:p w:rsidR="00903E0B" w:rsidRDefault="00903E0B">
      <w:pPr>
        <w:pStyle w:val="TOC1"/>
        <w:tabs>
          <w:tab w:val="left" w:pos="1320"/>
          <w:tab w:val="right" w:pos="9650"/>
        </w:tabs>
        <w:spacing w:before="120" w:after="120"/>
        <w:rPr>
          <w:rFonts w:asciiTheme="minorHAnsi" w:hAnsiTheme="minorHAnsi" w:cstheme="minorBidi"/>
          <w:b w:val="0"/>
          <w:i w:val="0"/>
          <w:noProof/>
          <w:kern w:val="0"/>
          <w:sz w:val="22"/>
          <w:szCs w:val="22"/>
        </w:rPr>
      </w:pPr>
      <w:hyperlink w:anchor="_Toc7752404" w:history="1">
        <w:r w:rsidRPr="00A64086">
          <w:rPr>
            <w:rStyle w:val="Hyperlink"/>
            <w:rFonts w:eastAsia="SimSun"/>
            <w:noProof/>
          </w:rPr>
          <w:t>Proposal 21:</w:t>
        </w:r>
        <w:r>
          <w:rPr>
            <w:rFonts w:asciiTheme="minorHAnsi" w:hAnsiTheme="minorHAnsi" w:cstheme="minorBidi"/>
            <w:b w:val="0"/>
            <w:i w:val="0"/>
            <w:noProof/>
            <w:kern w:val="0"/>
            <w:sz w:val="22"/>
            <w:szCs w:val="22"/>
          </w:rPr>
          <w:tab/>
        </w:r>
        <w:r w:rsidRPr="00A64086">
          <w:rPr>
            <w:rStyle w:val="Hyperlink"/>
            <w:rFonts w:eastAsia="SimSun"/>
            <w:noProof/>
          </w:rPr>
          <w:t xml:space="preserve">For PSSCH, configuration </w:t>
        </w:r>
        <w:r w:rsidRPr="00A64086">
          <w:rPr>
            <w:rStyle w:val="Hyperlink"/>
            <w:noProof/>
          </w:rPr>
          <w:t>type 2 of DMRS is not supported.</w:t>
        </w:r>
      </w:hyperlink>
    </w:p>
    <w:p w:rsidR="00903E0B" w:rsidRDefault="00903E0B">
      <w:pPr>
        <w:pStyle w:val="TOC1"/>
        <w:tabs>
          <w:tab w:val="left" w:pos="1320"/>
          <w:tab w:val="right" w:pos="9650"/>
        </w:tabs>
        <w:spacing w:before="120" w:after="120"/>
        <w:rPr>
          <w:rFonts w:asciiTheme="minorHAnsi" w:hAnsiTheme="minorHAnsi" w:cstheme="minorBidi"/>
          <w:b w:val="0"/>
          <w:i w:val="0"/>
          <w:noProof/>
          <w:kern w:val="0"/>
          <w:sz w:val="22"/>
          <w:szCs w:val="22"/>
        </w:rPr>
      </w:pPr>
      <w:hyperlink w:anchor="_Toc7752405" w:history="1">
        <w:r w:rsidRPr="00A64086">
          <w:rPr>
            <w:rStyle w:val="Hyperlink"/>
            <w:rFonts w:eastAsia="SimSun"/>
            <w:noProof/>
          </w:rPr>
          <w:t>Proposal 22:</w:t>
        </w:r>
        <w:r>
          <w:rPr>
            <w:rFonts w:asciiTheme="minorHAnsi" w:hAnsiTheme="minorHAnsi" w:cstheme="minorBidi"/>
            <w:b w:val="0"/>
            <w:i w:val="0"/>
            <w:noProof/>
            <w:kern w:val="0"/>
            <w:sz w:val="22"/>
            <w:szCs w:val="22"/>
          </w:rPr>
          <w:tab/>
        </w:r>
        <w:r w:rsidRPr="00A64086">
          <w:rPr>
            <w:rStyle w:val="Hyperlink"/>
            <w:noProof/>
          </w:rPr>
          <w:t>Multiple candidate DMRS patterns can be defined per SCS on sidelink, among which one single DMRS pattern should be configured/pre-configured per resource pool.</w:t>
        </w:r>
      </w:hyperlink>
    </w:p>
    <w:p w:rsidR="00650448" w:rsidRDefault="00371FC3">
      <w:pPr>
        <w:pStyle w:val="TOC1"/>
        <w:tabs>
          <w:tab w:val="right" w:pos="9660"/>
        </w:tabs>
        <w:spacing w:before="120" w:after="120"/>
      </w:pPr>
      <w:r>
        <w:lastRenderedPageBreak/>
        <w:fldChar w:fldCharType="end"/>
      </w:r>
    </w:p>
    <w:p w:rsidR="00650448" w:rsidRDefault="00371FC3">
      <w:pPr>
        <w:pStyle w:val="Heading1"/>
        <w:spacing w:before="120" w:after="120"/>
        <w:ind w:left="0"/>
        <w:rPr>
          <w:rFonts w:eastAsia="SimSun"/>
        </w:rPr>
      </w:pPr>
      <w:r>
        <w:rPr>
          <w:rFonts w:eastAsia="SimSun" w:hint="eastAsia"/>
        </w:rPr>
        <w:t>Reference</w:t>
      </w:r>
      <w:r>
        <w:rPr>
          <w:rFonts w:eastAsia="SimSun"/>
        </w:rPr>
        <w:t>s</w:t>
      </w:r>
    </w:p>
    <w:p w:rsidR="00650448" w:rsidRDefault="00371FC3">
      <w:pPr>
        <w:pStyle w:val="References"/>
        <w:spacing w:before="120" w:after="120"/>
        <w:rPr>
          <w:szCs w:val="20"/>
        </w:rPr>
      </w:pPr>
      <w:bookmarkStart w:id="58" w:name="_Ref17466"/>
      <w:bookmarkStart w:id="59" w:name="_Ref31645"/>
      <w:r>
        <w:rPr>
          <w:rFonts w:hint="eastAsia"/>
          <w:szCs w:val="20"/>
        </w:rPr>
        <w:t>RP-190766, New WID on 5</w:t>
      </w:r>
      <w:r>
        <w:rPr>
          <w:rFonts w:hint="eastAsia"/>
          <w:szCs w:val="20"/>
          <w:lang w:eastAsia="ko-KR"/>
        </w:rPr>
        <w:t>G V2X with NR sidelink</w:t>
      </w:r>
      <w:r>
        <w:rPr>
          <w:rFonts w:hint="eastAsia"/>
          <w:szCs w:val="20"/>
        </w:rPr>
        <w:t xml:space="preserve"> </w:t>
      </w:r>
    </w:p>
    <w:p w:rsidR="00650448" w:rsidRDefault="00371FC3">
      <w:pPr>
        <w:pStyle w:val="References"/>
        <w:spacing w:before="120" w:after="120"/>
        <w:rPr>
          <w:szCs w:val="20"/>
        </w:rPr>
      </w:pPr>
      <w:bookmarkStart w:id="60" w:name="_Ref937"/>
      <w:bookmarkStart w:id="61" w:name="_Ref31812"/>
      <w:bookmarkStart w:id="62" w:name="_Ref8297"/>
      <w:bookmarkStart w:id="63" w:name="_Ref7931"/>
      <w:r>
        <w:rPr>
          <w:rFonts w:hint="eastAsia"/>
        </w:rPr>
        <w:t>Chairman's Notes RAN1 #96bis, April 8th -12th, 2019</w:t>
      </w:r>
      <w:bookmarkEnd w:id="60"/>
    </w:p>
    <w:p w:rsidR="00650448" w:rsidRDefault="00371FC3">
      <w:pPr>
        <w:pStyle w:val="References"/>
        <w:spacing w:before="120" w:after="120"/>
        <w:rPr>
          <w:szCs w:val="20"/>
        </w:rPr>
      </w:pPr>
      <w:bookmarkStart w:id="64" w:name="_Ref1074"/>
      <w:r>
        <w:rPr>
          <w:rFonts w:hint="eastAsia"/>
          <w:szCs w:val="20"/>
        </w:rPr>
        <w:t xml:space="preserve">TS 38.133, </w:t>
      </w:r>
      <w:r>
        <w:rPr>
          <w:rFonts w:cs="v4.2.0"/>
        </w:rPr>
        <w:t>Requirements for support of radio resource management</w:t>
      </w:r>
      <w:bookmarkEnd w:id="64"/>
    </w:p>
    <w:p w:rsidR="00650448" w:rsidRDefault="00371FC3">
      <w:pPr>
        <w:pStyle w:val="References"/>
        <w:spacing w:before="120" w:after="120"/>
        <w:rPr>
          <w:szCs w:val="20"/>
        </w:rPr>
      </w:pPr>
      <w:bookmarkStart w:id="65" w:name="_Ref1201"/>
      <w:r>
        <w:rPr>
          <w:rFonts w:hint="eastAsia"/>
          <w:szCs w:val="20"/>
        </w:rPr>
        <w:t>TR 38.885</w:t>
      </w:r>
      <w:bookmarkEnd w:id="61"/>
      <w:r>
        <w:rPr>
          <w:rFonts w:hint="eastAsia"/>
          <w:szCs w:val="20"/>
        </w:rPr>
        <w:t xml:space="preserve"> </w:t>
      </w:r>
      <w:bookmarkEnd w:id="62"/>
      <w:r>
        <w:t>Study on Vehicle-to-Everything</w:t>
      </w:r>
      <w:bookmarkEnd w:id="63"/>
      <w:bookmarkEnd w:id="65"/>
    </w:p>
    <w:p w:rsidR="00650448" w:rsidRDefault="00371FC3">
      <w:pPr>
        <w:pStyle w:val="References"/>
        <w:spacing w:before="120" w:after="120"/>
        <w:rPr>
          <w:szCs w:val="20"/>
        </w:rPr>
      </w:pPr>
      <w:bookmarkStart w:id="66" w:name="_Ref26666"/>
      <w:bookmarkEnd w:id="58"/>
      <w:bookmarkEnd w:id="59"/>
      <w:r>
        <w:rPr>
          <w:rFonts w:hint="eastAsia"/>
          <w:szCs w:val="20"/>
        </w:rPr>
        <w:t>R1-1903847, Reply LS on NR UE transient period in sidelink channels</w:t>
      </w:r>
      <w:bookmarkEnd w:id="66"/>
    </w:p>
    <w:p w:rsidR="00650448" w:rsidRDefault="00371FC3">
      <w:pPr>
        <w:pStyle w:val="Heading1"/>
        <w:pBdr>
          <w:top w:val="none" w:sz="0" w:space="0" w:color="auto"/>
        </w:pBdr>
        <w:spacing w:before="120" w:after="120"/>
        <w:ind w:left="0"/>
      </w:pPr>
      <w:r>
        <w:rPr>
          <w:rFonts w:eastAsia="SimSun" w:hint="eastAsia"/>
        </w:rPr>
        <w:t>Appendix</w:t>
      </w:r>
    </w:p>
    <w:p w:rsidR="00650448" w:rsidRDefault="00371FC3">
      <w:pPr>
        <w:pStyle w:val="Caption"/>
        <w:jc w:val="center"/>
      </w:pPr>
      <w:r>
        <w:t>System level simulation assumption</w:t>
      </w:r>
    </w:p>
    <w:tbl>
      <w:tblPr>
        <w:tblW w:w="8318" w:type="dxa"/>
        <w:jc w:val="center"/>
        <w:tblLayout w:type="fixed"/>
        <w:tblCellMar>
          <w:left w:w="0" w:type="dxa"/>
          <w:right w:w="0" w:type="dxa"/>
        </w:tblCellMar>
        <w:tblLook w:val="04A0" w:firstRow="1" w:lastRow="0" w:firstColumn="1" w:lastColumn="0" w:noHBand="0" w:noVBand="1"/>
      </w:tblPr>
      <w:tblGrid>
        <w:gridCol w:w="3137"/>
        <w:gridCol w:w="5181"/>
      </w:tblGrid>
      <w:tr w:rsidR="00650448">
        <w:trPr>
          <w:trHeight w:val="379"/>
          <w:jc w:val="center"/>
        </w:trPr>
        <w:tc>
          <w:tcPr>
            <w:tcW w:w="3137"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650448" w:rsidRDefault="00371FC3">
            <w:pPr>
              <w:spacing w:before="120" w:after="120"/>
              <w:ind w:left="720" w:hanging="720"/>
              <w:jc w:val="center"/>
              <w:rPr>
                <w:b/>
              </w:rPr>
            </w:pPr>
            <w:r>
              <w:rPr>
                <w:b/>
              </w:rPr>
              <w:t>Parameter</w:t>
            </w:r>
          </w:p>
        </w:tc>
        <w:tc>
          <w:tcPr>
            <w:tcW w:w="5181"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650448" w:rsidRDefault="00371FC3">
            <w:pPr>
              <w:spacing w:before="120" w:after="120"/>
              <w:ind w:left="720" w:hanging="720"/>
              <w:jc w:val="center"/>
              <w:rPr>
                <w:b/>
              </w:rPr>
            </w:pPr>
            <w:r>
              <w:rPr>
                <w:b/>
              </w:rPr>
              <w:t>Value</w:t>
            </w:r>
          </w:p>
        </w:tc>
      </w:tr>
      <w:tr w:rsidR="00650448">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50448" w:rsidRDefault="00371FC3">
            <w:pPr>
              <w:spacing w:before="120" w:after="120"/>
              <w:ind w:left="720" w:hanging="720"/>
            </w:pPr>
            <w:r>
              <w:t>Carrier frequency</w:t>
            </w:r>
          </w:p>
        </w:tc>
        <w:tc>
          <w:tcPr>
            <w:tcW w:w="5181" w:type="dxa"/>
            <w:tcBorders>
              <w:top w:val="nil"/>
              <w:left w:val="nil"/>
              <w:bottom w:val="single" w:sz="8" w:space="0" w:color="auto"/>
              <w:right w:val="single" w:sz="8" w:space="0" w:color="auto"/>
            </w:tcBorders>
            <w:tcMar>
              <w:top w:w="0" w:type="dxa"/>
              <w:left w:w="108" w:type="dxa"/>
              <w:bottom w:w="0" w:type="dxa"/>
              <w:right w:w="108" w:type="dxa"/>
            </w:tcMar>
          </w:tcPr>
          <w:p w:rsidR="00650448" w:rsidRDefault="00371FC3">
            <w:pPr>
              <w:keepNext/>
              <w:spacing w:before="120" w:after="120"/>
              <w:ind w:left="720" w:hanging="720"/>
            </w:pPr>
            <w:r>
              <w:t>6GHz</w:t>
            </w:r>
          </w:p>
        </w:tc>
      </w:tr>
      <w:tr w:rsidR="00650448">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50448" w:rsidRDefault="00371FC3">
            <w:pPr>
              <w:spacing w:before="120" w:after="120"/>
              <w:ind w:left="720" w:hanging="720"/>
            </w:pPr>
            <w:r>
              <w:t>Sub-carrier spacing</w:t>
            </w:r>
          </w:p>
        </w:tc>
        <w:tc>
          <w:tcPr>
            <w:tcW w:w="5181" w:type="dxa"/>
            <w:tcBorders>
              <w:top w:val="nil"/>
              <w:left w:val="nil"/>
              <w:bottom w:val="single" w:sz="8" w:space="0" w:color="auto"/>
              <w:right w:val="single" w:sz="8" w:space="0" w:color="auto"/>
            </w:tcBorders>
            <w:tcMar>
              <w:top w:w="0" w:type="dxa"/>
              <w:left w:w="108" w:type="dxa"/>
              <w:bottom w:w="0" w:type="dxa"/>
              <w:right w:w="108" w:type="dxa"/>
            </w:tcMar>
          </w:tcPr>
          <w:p w:rsidR="00650448" w:rsidRDefault="00371FC3" w:rsidP="00371FC3">
            <w:pPr>
              <w:keepNext/>
              <w:spacing w:before="120" w:after="120"/>
              <w:ind w:left="720" w:hanging="720"/>
            </w:pPr>
            <w:r>
              <w:t xml:space="preserve">6 GHz: 30 kHz </w:t>
            </w:r>
          </w:p>
        </w:tc>
      </w:tr>
      <w:tr w:rsidR="00650448">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50448" w:rsidRDefault="00371FC3">
            <w:pPr>
              <w:spacing w:before="120" w:after="120"/>
              <w:ind w:left="720" w:hanging="720"/>
            </w:pPr>
            <w:r>
              <w:t>System bandwidth</w:t>
            </w:r>
          </w:p>
        </w:tc>
        <w:tc>
          <w:tcPr>
            <w:tcW w:w="5181" w:type="dxa"/>
            <w:tcBorders>
              <w:top w:val="nil"/>
              <w:left w:val="nil"/>
              <w:bottom w:val="single" w:sz="8" w:space="0" w:color="auto"/>
              <w:right w:val="single" w:sz="8" w:space="0" w:color="auto"/>
            </w:tcBorders>
            <w:tcMar>
              <w:top w:w="0" w:type="dxa"/>
              <w:left w:w="108" w:type="dxa"/>
              <w:bottom w:w="0" w:type="dxa"/>
              <w:right w:w="108" w:type="dxa"/>
            </w:tcMar>
          </w:tcPr>
          <w:p w:rsidR="00650448" w:rsidRDefault="00371FC3">
            <w:pPr>
              <w:spacing w:before="120" w:after="120"/>
            </w:pPr>
            <w:r>
              <w:t>20 MHz</w:t>
            </w:r>
          </w:p>
        </w:tc>
      </w:tr>
      <w:tr w:rsidR="00650448">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50448" w:rsidRDefault="00371FC3">
            <w:pPr>
              <w:spacing w:before="120" w:after="120"/>
              <w:ind w:left="720" w:hanging="720"/>
            </w:pPr>
            <w:r>
              <w:t>Channel model</w:t>
            </w:r>
          </w:p>
        </w:tc>
        <w:tc>
          <w:tcPr>
            <w:tcW w:w="5181" w:type="dxa"/>
            <w:tcBorders>
              <w:top w:val="nil"/>
              <w:left w:val="nil"/>
              <w:bottom w:val="single" w:sz="8" w:space="0" w:color="auto"/>
              <w:right w:val="single" w:sz="8" w:space="0" w:color="auto"/>
            </w:tcBorders>
            <w:tcMar>
              <w:top w:w="0" w:type="dxa"/>
              <w:left w:w="108" w:type="dxa"/>
              <w:bottom w:w="0" w:type="dxa"/>
              <w:right w:w="108" w:type="dxa"/>
            </w:tcMar>
          </w:tcPr>
          <w:p w:rsidR="00650448" w:rsidRDefault="00371FC3">
            <w:pPr>
              <w:spacing w:before="120" w:after="120"/>
            </w:pPr>
            <w:r>
              <w:t>TR 37.885 CDL model for Urban NLOS V2X channel</w:t>
            </w:r>
          </w:p>
        </w:tc>
      </w:tr>
      <w:tr w:rsidR="00650448">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50448" w:rsidRDefault="00371FC3">
            <w:pPr>
              <w:spacing w:before="120" w:after="120"/>
              <w:ind w:left="720" w:hanging="720"/>
            </w:pPr>
            <w:r>
              <w:t>Vehicle speed</w:t>
            </w:r>
          </w:p>
        </w:tc>
        <w:tc>
          <w:tcPr>
            <w:tcW w:w="5181" w:type="dxa"/>
            <w:tcBorders>
              <w:top w:val="nil"/>
              <w:left w:val="nil"/>
              <w:bottom w:val="single" w:sz="8" w:space="0" w:color="auto"/>
              <w:right w:val="single" w:sz="8" w:space="0" w:color="auto"/>
            </w:tcBorders>
            <w:tcMar>
              <w:top w:w="0" w:type="dxa"/>
              <w:left w:w="108" w:type="dxa"/>
              <w:bottom w:w="0" w:type="dxa"/>
              <w:right w:w="108" w:type="dxa"/>
            </w:tcMar>
          </w:tcPr>
          <w:p w:rsidR="00650448" w:rsidRDefault="00371FC3" w:rsidP="00371FC3">
            <w:pPr>
              <w:spacing w:before="120" w:after="120"/>
              <w:rPr>
                <w:rFonts w:eastAsiaTheme="minorEastAsia"/>
              </w:rPr>
            </w:pPr>
            <w:r>
              <w:t>240 km/h</w:t>
            </w:r>
          </w:p>
        </w:tc>
      </w:tr>
      <w:tr w:rsidR="00650448">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50448" w:rsidRDefault="00371FC3">
            <w:pPr>
              <w:spacing w:before="120" w:after="120"/>
              <w:ind w:left="720" w:hanging="720"/>
            </w:pPr>
            <w:r>
              <w:t>Antenna configuration</w:t>
            </w:r>
          </w:p>
        </w:tc>
        <w:tc>
          <w:tcPr>
            <w:tcW w:w="5181" w:type="dxa"/>
            <w:tcBorders>
              <w:top w:val="nil"/>
              <w:left w:val="nil"/>
              <w:bottom w:val="single" w:sz="8" w:space="0" w:color="auto"/>
              <w:right w:val="single" w:sz="8" w:space="0" w:color="auto"/>
            </w:tcBorders>
            <w:tcMar>
              <w:top w:w="0" w:type="dxa"/>
              <w:left w:w="108" w:type="dxa"/>
              <w:bottom w:w="0" w:type="dxa"/>
              <w:right w:w="108" w:type="dxa"/>
            </w:tcMar>
          </w:tcPr>
          <w:p w:rsidR="00650448" w:rsidRDefault="00371FC3">
            <w:pPr>
              <w:spacing w:before="120" w:after="120"/>
              <w:ind w:left="720" w:hanging="720"/>
            </w:pPr>
            <w:r>
              <w:t>2 Tx 2 Rx, dual-polarized antenna</w:t>
            </w:r>
          </w:p>
        </w:tc>
      </w:tr>
      <w:tr w:rsidR="00650448">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50448" w:rsidRDefault="00371FC3">
            <w:pPr>
              <w:spacing w:before="120" w:after="120"/>
              <w:ind w:left="720" w:hanging="720"/>
            </w:pPr>
            <w:r>
              <w:t>Modulation order</w:t>
            </w:r>
          </w:p>
        </w:tc>
        <w:tc>
          <w:tcPr>
            <w:tcW w:w="5181" w:type="dxa"/>
            <w:tcBorders>
              <w:top w:val="nil"/>
              <w:left w:val="nil"/>
              <w:bottom w:val="single" w:sz="8" w:space="0" w:color="auto"/>
              <w:right w:val="single" w:sz="8" w:space="0" w:color="auto"/>
            </w:tcBorders>
            <w:tcMar>
              <w:top w:w="0" w:type="dxa"/>
              <w:left w:w="108" w:type="dxa"/>
              <w:bottom w:w="0" w:type="dxa"/>
              <w:right w:w="108" w:type="dxa"/>
            </w:tcMar>
          </w:tcPr>
          <w:p w:rsidR="00650448" w:rsidRDefault="00371FC3">
            <w:pPr>
              <w:spacing w:before="120" w:after="120"/>
              <w:ind w:left="720" w:hanging="720"/>
            </w:pPr>
            <w:r>
              <w:t>QPSK</w:t>
            </w:r>
          </w:p>
        </w:tc>
      </w:tr>
      <w:tr w:rsidR="00650448">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50448" w:rsidRDefault="00371FC3">
            <w:pPr>
              <w:spacing w:before="120" w:after="120"/>
              <w:ind w:left="720" w:hanging="720"/>
            </w:pPr>
            <w:r>
              <w:t>Code</w:t>
            </w:r>
          </w:p>
        </w:tc>
        <w:tc>
          <w:tcPr>
            <w:tcW w:w="5181" w:type="dxa"/>
            <w:tcBorders>
              <w:top w:val="nil"/>
              <w:left w:val="nil"/>
              <w:bottom w:val="single" w:sz="8" w:space="0" w:color="auto"/>
              <w:right w:val="single" w:sz="8" w:space="0" w:color="auto"/>
            </w:tcBorders>
            <w:tcMar>
              <w:top w:w="0" w:type="dxa"/>
              <w:left w:w="108" w:type="dxa"/>
              <w:bottom w:w="0" w:type="dxa"/>
              <w:right w:w="108" w:type="dxa"/>
            </w:tcMar>
          </w:tcPr>
          <w:p w:rsidR="00650448" w:rsidRDefault="00371FC3">
            <w:pPr>
              <w:spacing w:before="120" w:after="120"/>
            </w:pPr>
            <w:r>
              <w:t xml:space="preserve">Polar encoder, 24 CRC bits </w:t>
            </w:r>
          </w:p>
        </w:tc>
      </w:tr>
      <w:tr w:rsidR="00650448">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50448" w:rsidRDefault="00371FC3">
            <w:pPr>
              <w:spacing w:before="120" w:after="120"/>
              <w:ind w:left="720" w:hanging="720"/>
            </w:pPr>
            <w:r>
              <w:t>Payload bits for Case 1</w:t>
            </w:r>
          </w:p>
          <w:p w:rsidR="00650448" w:rsidRDefault="00371FC3">
            <w:pPr>
              <w:spacing w:before="120" w:after="120"/>
              <w:ind w:left="720" w:hanging="720"/>
              <w:rPr>
                <w:rFonts w:eastAsiaTheme="minorEastAsia"/>
              </w:rPr>
            </w:pPr>
            <w:r>
              <w:t>( including CRC)</w:t>
            </w:r>
          </w:p>
        </w:tc>
        <w:tc>
          <w:tcPr>
            <w:tcW w:w="5181" w:type="dxa"/>
            <w:tcBorders>
              <w:top w:val="nil"/>
              <w:left w:val="nil"/>
              <w:bottom w:val="single" w:sz="8" w:space="0" w:color="auto"/>
              <w:right w:val="single" w:sz="8" w:space="0" w:color="auto"/>
            </w:tcBorders>
            <w:tcMar>
              <w:top w:w="0" w:type="dxa"/>
              <w:left w:w="108" w:type="dxa"/>
              <w:bottom w:w="0" w:type="dxa"/>
              <w:right w:w="108" w:type="dxa"/>
            </w:tcMar>
          </w:tcPr>
          <w:p w:rsidR="00650448" w:rsidRDefault="00371FC3">
            <w:pPr>
              <w:spacing w:before="120" w:after="120"/>
              <w:ind w:left="720" w:hanging="720"/>
            </w:pPr>
            <w:r>
              <w:t>60,90,120</w:t>
            </w:r>
          </w:p>
        </w:tc>
      </w:tr>
      <w:tr w:rsidR="00650448">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50448" w:rsidRDefault="00371FC3">
            <w:pPr>
              <w:spacing w:before="120" w:after="120"/>
              <w:ind w:left="720" w:hanging="720"/>
              <w:rPr>
                <w:rFonts w:eastAsiaTheme="minorEastAsia"/>
              </w:rPr>
            </w:pPr>
            <w:r>
              <w:t>Resource for Case 1</w:t>
            </w:r>
          </w:p>
        </w:tc>
        <w:tc>
          <w:tcPr>
            <w:tcW w:w="5181" w:type="dxa"/>
            <w:tcBorders>
              <w:top w:val="nil"/>
              <w:left w:val="nil"/>
              <w:bottom w:val="single" w:sz="8" w:space="0" w:color="auto"/>
              <w:right w:val="single" w:sz="8" w:space="0" w:color="auto"/>
            </w:tcBorders>
            <w:tcMar>
              <w:top w:w="0" w:type="dxa"/>
              <w:left w:w="108" w:type="dxa"/>
              <w:bottom w:w="0" w:type="dxa"/>
              <w:right w:w="108" w:type="dxa"/>
            </w:tcMar>
          </w:tcPr>
          <w:p w:rsidR="00650448" w:rsidRDefault="00371FC3">
            <w:pPr>
              <w:spacing w:before="120" w:after="120"/>
              <w:ind w:left="720" w:hanging="720"/>
            </w:pPr>
            <w:r>
              <w:t>60 payload bits : 10 PRB, 4 OFDM symbols</w:t>
            </w:r>
          </w:p>
          <w:p w:rsidR="00650448" w:rsidRDefault="00371FC3">
            <w:pPr>
              <w:spacing w:before="120" w:after="120"/>
              <w:ind w:left="720" w:hanging="720"/>
            </w:pPr>
            <w:r>
              <w:t>90 payload bits : 15 PRB, 4 OFDM symbols</w:t>
            </w:r>
          </w:p>
          <w:p w:rsidR="00650448" w:rsidRDefault="00371FC3">
            <w:pPr>
              <w:spacing w:before="120" w:after="120"/>
              <w:ind w:left="720" w:hanging="720"/>
            </w:pPr>
            <w:r>
              <w:t>120 payload bits : 20 PRB, 4 OFDM symbols</w:t>
            </w:r>
          </w:p>
        </w:tc>
      </w:tr>
      <w:tr w:rsidR="00650448">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50448" w:rsidRDefault="00371FC3">
            <w:pPr>
              <w:spacing w:before="120" w:after="120"/>
              <w:ind w:left="720" w:hanging="720"/>
              <w:rPr>
                <w:rFonts w:eastAsiaTheme="minorEastAsia"/>
              </w:rPr>
            </w:pPr>
            <w:r>
              <w:t xml:space="preserve">DMRS overhead </w:t>
            </w:r>
          </w:p>
        </w:tc>
        <w:tc>
          <w:tcPr>
            <w:tcW w:w="5181" w:type="dxa"/>
            <w:tcBorders>
              <w:top w:val="nil"/>
              <w:left w:val="nil"/>
              <w:bottom w:val="single" w:sz="8" w:space="0" w:color="auto"/>
              <w:right w:val="single" w:sz="8" w:space="0" w:color="auto"/>
            </w:tcBorders>
            <w:tcMar>
              <w:top w:w="0" w:type="dxa"/>
              <w:left w:w="108" w:type="dxa"/>
              <w:bottom w:w="0" w:type="dxa"/>
              <w:right w:w="108" w:type="dxa"/>
            </w:tcMar>
          </w:tcPr>
          <w:p w:rsidR="00650448" w:rsidRDefault="00371FC3">
            <w:pPr>
              <w:spacing w:before="120" w:after="120"/>
              <w:ind w:left="7" w:hanging="7"/>
            </w:pPr>
            <w:r>
              <w:t xml:space="preserve">1/4 overhead, same DMRS positions in all PSCCH symbols </w:t>
            </w:r>
          </w:p>
        </w:tc>
      </w:tr>
      <w:tr w:rsidR="00650448">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50448" w:rsidRDefault="00371FC3">
            <w:pPr>
              <w:spacing w:before="120" w:after="120"/>
              <w:ind w:left="720" w:hanging="720"/>
            </w:pPr>
            <w:r>
              <w:t>Channel estimation</w:t>
            </w:r>
          </w:p>
        </w:tc>
        <w:tc>
          <w:tcPr>
            <w:tcW w:w="5181" w:type="dxa"/>
            <w:tcBorders>
              <w:top w:val="nil"/>
              <w:left w:val="nil"/>
              <w:bottom w:val="single" w:sz="8" w:space="0" w:color="auto"/>
              <w:right w:val="single" w:sz="8" w:space="0" w:color="auto"/>
            </w:tcBorders>
            <w:tcMar>
              <w:top w:w="0" w:type="dxa"/>
              <w:left w:w="108" w:type="dxa"/>
              <w:bottom w:w="0" w:type="dxa"/>
              <w:right w:w="108" w:type="dxa"/>
            </w:tcMar>
          </w:tcPr>
          <w:p w:rsidR="00650448" w:rsidRDefault="00371FC3">
            <w:pPr>
              <w:spacing w:before="120" w:after="120"/>
              <w:rPr>
                <w:lang w:eastAsia="sv-SE"/>
              </w:rPr>
            </w:pPr>
            <w:r>
              <w:rPr>
                <w:lang w:eastAsia="sv-SE"/>
              </w:rPr>
              <w:t>MMSE</w:t>
            </w:r>
          </w:p>
        </w:tc>
      </w:tr>
    </w:tbl>
    <w:p w:rsidR="00650448" w:rsidRDefault="00650448">
      <w:pPr>
        <w:spacing w:beforeLines="0" w:afterLines="0"/>
        <w:jc w:val="left"/>
      </w:pPr>
    </w:p>
    <w:sectPr w:rsidR="00650448">
      <w:headerReference w:type="even" r:id="rId18"/>
      <w:headerReference w:type="default" r:id="rId19"/>
      <w:footerReference w:type="even" r:id="rId20"/>
      <w:footerReference w:type="default" r:id="rId21"/>
      <w:headerReference w:type="first" r:id="rId22"/>
      <w:footerReference w:type="first" r:id="rId23"/>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7B94" w:rsidRDefault="009B7B94">
      <w:pPr>
        <w:spacing w:before="120" w:after="120"/>
      </w:pPr>
      <w:r>
        <w:separator/>
      </w:r>
    </w:p>
  </w:endnote>
  <w:endnote w:type="continuationSeparator" w:id="0">
    <w:p w:rsidR="009B7B94" w:rsidRDefault="009B7B94">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DengXian">
    <w:altName w:val="宋体"/>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1FC3" w:rsidRDefault="00371FC3">
    <w:pPr>
      <w:pStyle w:val="Footer"/>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63367981"/>
      <w:docPartObj>
        <w:docPartGallery w:val="Page Numbers (Bottom of Page)"/>
        <w:docPartUnique/>
      </w:docPartObj>
    </w:sdtPr>
    <w:sdtEndPr>
      <w:rPr>
        <w:noProof/>
      </w:rPr>
    </w:sdtEndPr>
    <w:sdtContent>
      <w:p w:rsidR="00371FC3" w:rsidRDefault="00371FC3">
        <w:pPr>
          <w:pStyle w:val="Footer"/>
          <w:spacing w:before="120" w:after="120"/>
          <w:jc w:val="center"/>
        </w:pPr>
        <w:r>
          <w:fldChar w:fldCharType="begin"/>
        </w:r>
        <w:r>
          <w:instrText xml:space="preserve"> PAGE   \* MERGEFORMAT </w:instrText>
        </w:r>
        <w:r>
          <w:fldChar w:fldCharType="separate"/>
        </w:r>
        <w:r w:rsidR="00903E0B">
          <w:rPr>
            <w:noProof/>
          </w:rPr>
          <w:t>12</w:t>
        </w:r>
        <w:r>
          <w:rPr>
            <w:noProof/>
          </w:rPr>
          <w:fldChar w:fldCharType="end"/>
        </w:r>
      </w:p>
    </w:sdtContent>
  </w:sdt>
  <w:p w:rsidR="00371FC3" w:rsidRDefault="00371FC3">
    <w:pPr>
      <w:pStyle w:val="Footer"/>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1FC3" w:rsidRDefault="00371FC3">
    <w:pPr>
      <w:pStyle w:val="Footer"/>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7B94" w:rsidRDefault="009B7B94">
      <w:pPr>
        <w:spacing w:before="120" w:after="120"/>
      </w:pPr>
      <w:r>
        <w:separator/>
      </w:r>
    </w:p>
  </w:footnote>
  <w:footnote w:type="continuationSeparator" w:id="0">
    <w:p w:rsidR="009B7B94" w:rsidRDefault="009B7B94">
      <w:pPr>
        <w:spacing w:before="120"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1FC3" w:rsidRDefault="00371FC3">
    <w:pPr>
      <w:pStyle w:val="Header"/>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1FC3" w:rsidRDefault="00371FC3">
    <w:pPr>
      <w:pStyle w:val="Header"/>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1FC3" w:rsidRDefault="00371FC3">
    <w:pPr>
      <w:pStyle w:val="Header"/>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E75F3177"/>
    <w:multiLevelType w:val="singleLevel"/>
    <w:tmpl w:val="E75F3177"/>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rPr>
    </w:lvl>
  </w:abstractNum>
  <w:abstractNum w:abstractNumId="1">
    <w:nsid w:val="03D99E35"/>
    <w:multiLevelType w:val="singleLevel"/>
    <w:tmpl w:val="03D99E35"/>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abstractNum>
  <w:abstractNum w:abstractNumId="2">
    <w:nsid w:val="0BDD5F2B"/>
    <w:multiLevelType w:val="multilevel"/>
    <w:tmpl w:val="0BDD5F2B"/>
    <w:lvl w:ilvl="0">
      <w:start w:val="1"/>
      <w:numFmt w:val="decimal"/>
      <w:pStyle w:val="Heading1"/>
      <w:suff w:val="nothing"/>
      <w:lvlText w:val="%1  "/>
      <w:lvlJc w:val="left"/>
      <w:pPr>
        <w:ind w:left="4962"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Heading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SimSun"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SimHei" w:hAnsi="Arial" w:hint="default"/>
        <w:b w:val="0"/>
        <w:i w:val="0"/>
        <w:sz w:val="18"/>
        <w:szCs w:val="18"/>
      </w:rPr>
    </w:lvl>
    <w:lvl w:ilvl="8">
      <w:start w:val="1"/>
      <w:numFmt w:val="decimal"/>
      <w:lvlRestart w:val="0"/>
      <w:suff w:val="space"/>
      <w:lvlText w:val="表%9"/>
      <w:lvlJc w:val="center"/>
      <w:pPr>
        <w:ind w:left="2694" w:firstLine="0"/>
      </w:pPr>
      <w:rPr>
        <w:rFonts w:ascii="Arial" w:eastAsia="SimHei" w:hAnsi="Arial" w:hint="default"/>
        <w:b w:val="0"/>
        <w:i w:val="0"/>
        <w:sz w:val="18"/>
        <w:szCs w:val="18"/>
      </w:rPr>
    </w:lvl>
  </w:abstractNum>
  <w:abstractNum w:abstractNumId="3">
    <w:nsid w:val="1D627649"/>
    <w:multiLevelType w:val="multilevel"/>
    <w:tmpl w:val="1D6276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3A371C91"/>
    <w:multiLevelType w:val="multilevel"/>
    <w:tmpl w:val="3A371C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nsid w:val="681E0686"/>
    <w:multiLevelType w:val="multilevel"/>
    <w:tmpl w:val="681E06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6EBC7A89"/>
    <w:multiLevelType w:val="multilevel"/>
    <w:tmpl w:val="6EBC7A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7A404E31"/>
    <w:multiLevelType w:val="multilevel"/>
    <w:tmpl w:val="7A404E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5"/>
  </w:num>
  <w:num w:numId="5">
    <w:abstractNumId w:val="4"/>
  </w:num>
  <w:num w:numId="6">
    <w:abstractNumId w:val="8"/>
  </w:num>
  <w:num w:numId="7">
    <w:abstractNumId w:val="7"/>
  </w:num>
  <w:num w:numId="8">
    <w:abstractNumId w:val="6"/>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3"/>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207AC"/>
    <w:rsid w:val="00081E01"/>
    <w:rsid w:val="000C1DC0"/>
    <w:rsid w:val="001709F6"/>
    <w:rsid w:val="00172A27"/>
    <w:rsid w:val="0019014E"/>
    <w:rsid w:val="00220E36"/>
    <w:rsid w:val="002F6F43"/>
    <w:rsid w:val="003223F2"/>
    <w:rsid w:val="00330503"/>
    <w:rsid w:val="00371FC3"/>
    <w:rsid w:val="003760D9"/>
    <w:rsid w:val="00390759"/>
    <w:rsid w:val="0039432B"/>
    <w:rsid w:val="003C16DF"/>
    <w:rsid w:val="004003F4"/>
    <w:rsid w:val="004019E9"/>
    <w:rsid w:val="00413ED4"/>
    <w:rsid w:val="0045507D"/>
    <w:rsid w:val="00493EF6"/>
    <w:rsid w:val="00510E7F"/>
    <w:rsid w:val="005538B1"/>
    <w:rsid w:val="00650448"/>
    <w:rsid w:val="006D7AD4"/>
    <w:rsid w:val="00702762"/>
    <w:rsid w:val="00750C3F"/>
    <w:rsid w:val="00751BCA"/>
    <w:rsid w:val="0080754F"/>
    <w:rsid w:val="00890DEA"/>
    <w:rsid w:val="008A5C7B"/>
    <w:rsid w:val="008E6AD6"/>
    <w:rsid w:val="00900FD7"/>
    <w:rsid w:val="00903E0B"/>
    <w:rsid w:val="00914EB0"/>
    <w:rsid w:val="00991996"/>
    <w:rsid w:val="009B7B94"/>
    <w:rsid w:val="009C56B2"/>
    <w:rsid w:val="009F1AC5"/>
    <w:rsid w:val="009F3510"/>
    <w:rsid w:val="00A16EE5"/>
    <w:rsid w:val="00A324D8"/>
    <w:rsid w:val="00A4799F"/>
    <w:rsid w:val="00A83575"/>
    <w:rsid w:val="00AE58C1"/>
    <w:rsid w:val="00AF3502"/>
    <w:rsid w:val="00B5335B"/>
    <w:rsid w:val="00BB2773"/>
    <w:rsid w:val="00BD3B7F"/>
    <w:rsid w:val="00C1797E"/>
    <w:rsid w:val="00C33842"/>
    <w:rsid w:val="00C349D3"/>
    <w:rsid w:val="00C7796E"/>
    <w:rsid w:val="00D635AE"/>
    <w:rsid w:val="00DF2221"/>
    <w:rsid w:val="00E26E64"/>
    <w:rsid w:val="00E82915"/>
    <w:rsid w:val="00F750A3"/>
    <w:rsid w:val="00F9361F"/>
    <w:rsid w:val="011B1FCE"/>
    <w:rsid w:val="011C5F7E"/>
    <w:rsid w:val="01344DA6"/>
    <w:rsid w:val="01726CA1"/>
    <w:rsid w:val="01AF6106"/>
    <w:rsid w:val="01B461C5"/>
    <w:rsid w:val="01D97808"/>
    <w:rsid w:val="022043D1"/>
    <w:rsid w:val="02431424"/>
    <w:rsid w:val="024D6B6A"/>
    <w:rsid w:val="02581965"/>
    <w:rsid w:val="02656023"/>
    <w:rsid w:val="026E404A"/>
    <w:rsid w:val="02875F1D"/>
    <w:rsid w:val="029B04E7"/>
    <w:rsid w:val="029B5E05"/>
    <w:rsid w:val="029D1F30"/>
    <w:rsid w:val="02AD40B0"/>
    <w:rsid w:val="02F13888"/>
    <w:rsid w:val="02F16460"/>
    <w:rsid w:val="02F80F4D"/>
    <w:rsid w:val="02F927B6"/>
    <w:rsid w:val="02FB6843"/>
    <w:rsid w:val="0313117C"/>
    <w:rsid w:val="03270788"/>
    <w:rsid w:val="03295919"/>
    <w:rsid w:val="032A75E4"/>
    <w:rsid w:val="032B5FDE"/>
    <w:rsid w:val="03345BD1"/>
    <w:rsid w:val="033E733E"/>
    <w:rsid w:val="03400D31"/>
    <w:rsid w:val="034242C4"/>
    <w:rsid w:val="034C5A15"/>
    <w:rsid w:val="034F27F0"/>
    <w:rsid w:val="037B40C7"/>
    <w:rsid w:val="03990215"/>
    <w:rsid w:val="039E7554"/>
    <w:rsid w:val="03AE7CE5"/>
    <w:rsid w:val="03BB4F7F"/>
    <w:rsid w:val="03BB68B5"/>
    <w:rsid w:val="03C172CA"/>
    <w:rsid w:val="03F933DD"/>
    <w:rsid w:val="03FB67D5"/>
    <w:rsid w:val="03FF077F"/>
    <w:rsid w:val="04071ECC"/>
    <w:rsid w:val="040D45E7"/>
    <w:rsid w:val="041C60FC"/>
    <w:rsid w:val="041F5AAF"/>
    <w:rsid w:val="04231324"/>
    <w:rsid w:val="04313A49"/>
    <w:rsid w:val="04444A88"/>
    <w:rsid w:val="0458732F"/>
    <w:rsid w:val="04725902"/>
    <w:rsid w:val="047D0264"/>
    <w:rsid w:val="048320EA"/>
    <w:rsid w:val="04964587"/>
    <w:rsid w:val="049B1220"/>
    <w:rsid w:val="04BD50D4"/>
    <w:rsid w:val="04F1406A"/>
    <w:rsid w:val="05170725"/>
    <w:rsid w:val="05391A0C"/>
    <w:rsid w:val="05952912"/>
    <w:rsid w:val="05A1009E"/>
    <w:rsid w:val="05E078B3"/>
    <w:rsid w:val="05E47190"/>
    <w:rsid w:val="06122C04"/>
    <w:rsid w:val="063F36BD"/>
    <w:rsid w:val="06773AB2"/>
    <w:rsid w:val="069B47DF"/>
    <w:rsid w:val="06AA2E75"/>
    <w:rsid w:val="06AB4596"/>
    <w:rsid w:val="06BA4F78"/>
    <w:rsid w:val="06BC06E8"/>
    <w:rsid w:val="06DD7452"/>
    <w:rsid w:val="06E83813"/>
    <w:rsid w:val="07035CCA"/>
    <w:rsid w:val="072A5120"/>
    <w:rsid w:val="074B3FEB"/>
    <w:rsid w:val="07770552"/>
    <w:rsid w:val="077A3A9C"/>
    <w:rsid w:val="07874FBF"/>
    <w:rsid w:val="078C61DD"/>
    <w:rsid w:val="079B1A08"/>
    <w:rsid w:val="07E66DC0"/>
    <w:rsid w:val="07FF331C"/>
    <w:rsid w:val="08053A68"/>
    <w:rsid w:val="080F46B9"/>
    <w:rsid w:val="085F1199"/>
    <w:rsid w:val="08695241"/>
    <w:rsid w:val="088323AA"/>
    <w:rsid w:val="08851BDF"/>
    <w:rsid w:val="089364EC"/>
    <w:rsid w:val="089B27FC"/>
    <w:rsid w:val="08B47007"/>
    <w:rsid w:val="08B82702"/>
    <w:rsid w:val="08C14AFB"/>
    <w:rsid w:val="08CC5019"/>
    <w:rsid w:val="08D05F27"/>
    <w:rsid w:val="08D16D65"/>
    <w:rsid w:val="08F2117A"/>
    <w:rsid w:val="08F33AC0"/>
    <w:rsid w:val="090407C3"/>
    <w:rsid w:val="090F099A"/>
    <w:rsid w:val="09116958"/>
    <w:rsid w:val="091F2F79"/>
    <w:rsid w:val="092C5BA6"/>
    <w:rsid w:val="093270E9"/>
    <w:rsid w:val="093E698F"/>
    <w:rsid w:val="095D60B3"/>
    <w:rsid w:val="09781688"/>
    <w:rsid w:val="09866A67"/>
    <w:rsid w:val="09955013"/>
    <w:rsid w:val="09A8027B"/>
    <w:rsid w:val="09CA3266"/>
    <w:rsid w:val="09D65CA5"/>
    <w:rsid w:val="09DC2966"/>
    <w:rsid w:val="0A1B6719"/>
    <w:rsid w:val="0A2A61A0"/>
    <w:rsid w:val="0A2B3BE4"/>
    <w:rsid w:val="0A4D41D8"/>
    <w:rsid w:val="0A520459"/>
    <w:rsid w:val="0A521E3A"/>
    <w:rsid w:val="0A681AC5"/>
    <w:rsid w:val="0A6E69AF"/>
    <w:rsid w:val="0A721C5D"/>
    <w:rsid w:val="0A7C1D9D"/>
    <w:rsid w:val="0A845E4A"/>
    <w:rsid w:val="0A941F02"/>
    <w:rsid w:val="0AB4105A"/>
    <w:rsid w:val="0AB44C88"/>
    <w:rsid w:val="0AC138F4"/>
    <w:rsid w:val="0B0169D8"/>
    <w:rsid w:val="0B184E31"/>
    <w:rsid w:val="0B1F12A9"/>
    <w:rsid w:val="0B20034F"/>
    <w:rsid w:val="0B475495"/>
    <w:rsid w:val="0B574236"/>
    <w:rsid w:val="0B5C74F5"/>
    <w:rsid w:val="0B7A7962"/>
    <w:rsid w:val="0B8050E5"/>
    <w:rsid w:val="0B8707CB"/>
    <w:rsid w:val="0B88680E"/>
    <w:rsid w:val="0B8C4B39"/>
    <w:rsid w:val="0B91436E"/>
    <w:rsid w:val="0B9E71DF"/>
    <w:rsid w:val="0BB06C9C"/>
    <w:rsid w:val="0BB72AF3"/>
    <w:rsid w:val="0BC62B0F"/>
    <w:rsid w:val="0BE0094D"/>
    <w:rsid w:val="0BF855F3"/>
    <w:rsid w:val="0C125CF2"/>
    <w:rsid w:val="0C143CAB"/>
    <w:rsid w:val="0C1C5326"/>
    <w:rsid w:val="0C21430D"/>
    <w:rsid w:val="0C242F15"/>
    <w:rsid w:val="0C2962C8"/>
    <w:rsid w:val="0C336D28"/>
    <w:rsid w:val="0C4465EC"/>
    <w:rsid w:val="0C584EB1"/>
    <w:rsid w:val="0C664BE8"/>
    <w:rsid w:val="0C6B5FB9"/>
    <w:rsid w:val="0C8A4B40"/>
    <w:rsid w:val="0C98593D"/>
    <w:rsid w:val="0CAE4DC6"/>
    <w:rsid w:val="0CB17615"/>
    <w:rsid w:val="0CC84DB9"/>
    <w:rsid w:val="0CEB4456"/>
    <w:rsid w:val="0D036958"/>
    <w:rsid w:val="0D062E68"/>
    <w:rsid w:val="0D1D1B49"/>
    <w:rsid w:val="0D275F68"/>
    <w:rsid w:val="0D551628"/>
    <w:rsid w:val="0D601D12"/>
    <w:rsid w:val="0D6C712D"/>
    <w:rsid w:val="0D904281"/>
    <w:rsid w:val="0D9C266B"/>
    <w:rsid w:val="0D9D39D9"/>
    <w:rsid w:val="0DA01E2F"/>
    <w:rsid w:val="0DA47318"/>
    <w:rsid w:val="0DBA6872"/>
    <w:rsid w:val="0DC75E90"/>
    <w:rsid w:val="0DDC3987"/>
    <w:rsid w:val="0DE6187B"/>
    <w:rsid w:val="0E3D58AC"/>
    <w:rsid w:val="0E4C28F5"/>
    <w:rsid w:val="0E583570"/>
    <w:rsid w:val="0E5E38D9"/>
    <w:rsid w:val="0E750A72"/>
    <w:rsid w:val="0E7A2157"/>
    <w:rsid w:val="0EB55211"/>
    <w:rsid w:val="0EB819B8"/>
    <w:rsid w:val="0EC87EF2"/>
    <w:rsid w:val="0ED92450"/>
    <w:rsid w:val="0EE142FE"/>
    <w:rsid w:val="0EF0337B"/>
    <w:rsid w:val="0EF5197B"/>
    <w:rsid w:val="0EFD1C24"/>
    <w:rsid w:val="0F086D30"/>
    <w:rsid w:val="0F302193"/>
    <w:rsid w:val="0F565832"/>
    <w:rsid w:val="0F5C1473"/>
    <w:rsid w:val="0F705846"/>
    <w:rsid w:val="0F7523CC"/>
    <w:rsid w:val="0F7A5FF5"/>
    <w:rsid w:val="0FA34479"/>
    <w:rsid w:val="0FA671AE"/>
    <w:rsid w:val="0FCA65F8"/>
    <w:rsid w:val="0FF928B9"/>
    <w:rsid w:val="100A4EF4"/>
    <w:rsid w:val="10134EB0"/>
    <w:rsid w:val="10145447"/>
    <w:rsid w:val="101D7F34"/>
    <w:rsid w:val="103F0794"/>
    <w:rsid w:val="106540A2"/>
    <w:rsid w:val="10780616"/>
    <w:rsid w:val="10801881"/>
    <w:rsid w:val="10826309"/>
    <w:rsid w:val="108C231D"/>
    <w:rsid w:val="10B70B6B"/>
    <w:rsid w:val="10C226A7"/>
    <w:rsid w:val="10EE595B"/>
    <w:rsid w:val="10F148E9"/>
    <w:rsid w:val="10F4353C"/>
    <w:rsid w:val="10F74639"/>
    <w:rsid w:val="11284E3A"/>
    <w:rsid w:val="11296285"/>
    <w:rsid w:val="112C5169"/>
    <w:rsid w:val="112D5B73"/>
    <w:rsid w:val="113D2D5A"/>
    <w:rsid w:val="11666910"/>
    <w:rsid w:val="119F6111"/>
    <w:rsid w:val="11A82105"/>
    <w:rsid w:val="11B93B6E"/>
    <w:rsid w:val="11BD701A"/>
    <w:rsid w:val="11BF53D8"/>
    <w:rsid w:val="11F62707"/>
    <w:rsid w:val="1212186F"/>
    <w:rsid w:val="12450479"/>
    <w:rsid w:val="125165A7"/>
    <w:rsid w:val="12706231"/>
    <w:rsid w:val="127F48C9"/>
    <w:rsid w:val="12831955"/>
    <w:rsid w:val="1289111B"/>
    <w:rsid w:val="12AC7029"/>
    <w:rsid w:val="12B17150"/>
    <w:rsid w:val="12CD2704"/>
    <w:rsid w:val="12D23F72"/>
    <w:rsid w:val="12D71288"/>
    <w:rsid w:val="130233B9"/>
    <w:rsid w:val="132222E7"/>
    <w:rsid w:val="132E261E"/>
    <w:rsid w:val="134A1885"/>
    <w:rsid w:val="13563D4C"/>
    <w:rsid w:val="137966F3"/>
    <w:rsid w:val="137A4A0A"/>
    <w:rsid w:val="138A1171"/>
    <w:rsid w:val="138F0C9D"/>
    <w:rsid w:val="13C342A5"/>
    <w:rsid w:val="13D114FE"/>
    <w:rsid w:val="13D331FF"/>
    <w:rsid w:val="14280B07"/>
    <w:rsid w:val="14373A31"/>
    <w:rsid w:val="143A7DED"/>
    <w:rsid w:val="14415A39"/>
    <w:rsid w:val="144273E8"/>
    <w:rsid w:val="14662EAA"/>
    <w:rsid w:val="147422F0"/>
    <w:rsid w:val="14792DFF"/>
    <w:rsid w:val="147C4D80"/>
    <w:rsid w:val="14890D0B"/>
    <w:rsid w:val="149100F4"/>
    <w:rsid w:val="14A61337"/>
    <w:rsid w:val="14B6552B"/>
    <w:rsid w:val="14C30147"/>
    <w:rsid w:val="14DA3DA1"/>
    <w:rsid w:val="14DA4D79"/>
    <w:rsid w:val="14EF1E18"/>
    <w:rsid w:val="151829A0"/>
    <w:rsid w:val="151874A3"/>
    <w:rsid w:val="15212567"/>
    <w:rsid w:val="152B2BA0"/>
    <w:rsid w:val="154175C7"/>
    <w:rsid w:val="154D014F"/>
    <w:rsid w:val="156C6FF5"/>
    <w:rsid w:val="157C79C2"/>
    <w:rsid w:val="15EA5871"/>
    <w:rsid w:val="15F21AEC"/>
    <w:rsid w:val="15FB0D4B"/>
    <w:rsid w:val="163810A3"/>
    <w:rsid w:val="163C65B6"/>
    <w:rsid w:val="165248E4"/>
    <w:rsid w:val="16822A11"/>
    <w:rsid w:val="16824E0E"/>
    <w:rsid w:val="16860874"/>
    <w:rsid w:val="16862A0F"/>
    <w:rsid w:val="168D0EA6"/>
    <w:rsid w:val="169014B2"/>
    <w:rsid w:val="16CA3510"/>
    <w:rsid w:val="171A49A7"/>
    <w:rsid w:val="17326D10"/>
    <w:rsid w:val="173808DD"/>
    <w:rsid w:val="175371B9"/>
    <w:rsid w:val="175A4FA4"/>
    <w:rsid w:val="1763075D"/>
    <w:rsid w:val="176F04F9"/>
    <w:rsid w:val="1772056C"/>
    <w:rsid w:val="17864712"/>
    <w:rsid w:val="1787167A"/>
    <w:rsid w:val="17897339"/>
    <w:rsid w:val="179B5DE1"/>
    <w:rsid w:val="179C2A0B"/>
    <w:rsid w:val="17B8661D"/>
    <w:rsid w:val="17C8246E"/>
    <w:rsid w:val="17D750BC"/>
    <w:rsid w:val="18081DB5"/>
    <w:rsid w:val="180C3769"/>
    <w:rsid w:val="181F6319"/>
    <w:rsid w:val="18257ADA"/>
    <w:rsid w:val="182837CA"/>
    <w:rsid w:val="18391CB9"/>
    <w:rsid w:val="18507566"/>
    <w:rsid w:val="187639F9"/>
    <w:rsid w:val="189B2AF3"/>
    <w:rsid w:val="189C1350"/>
    <w:rsid w:val="18AC3DEE"/>
    <w:rsid w:val="18AC5FE6"/>
    <w:rsid w:val="18B1589C"/>
    <w:rsid w:val="18E847F9"/>
    <w:rsid w:val="19074842"/>
    <w:rsid w:val="192238FB"/>
    <w:rsid w:val="192E1F47"/>
    <w:rsid w:val="192F79EC"/>
    <w:rsid w:val="19364B07"/>
    <w:rsid w:val="194B3CB8"/>
    <w:rsid w:val="194D6DCF"/>
    <w:rsid w:val="19516586"/>
    <w:rsid w:val="19632A8C"/>
    <w:rsid w:val="19767157"/>
    <w:rsid w:val="1996249B"/>
    <w:rsid w:val="199B7B3C"/>
    <w:rsid w:val="19AD3FFE"/>
    <w:rsid w:val="19AE2FA9"/>
    <w:rsid w:val="19B21847"/>
    <w:rsid w:val="19CB0791"/>
    <w:rsid w:val="19DF5566"/>
    <w:rsid w:val="19E17BE2"/>
    <w:rsid w:val="19E336B7"/>
    <w:rsid w:val="19FB4987"/>
    <w:rsid w:val="1A054259"/>
    <w:rsid w:val="1A08679A"/>
    <w:rsid w:val="1A232337"/>
    <w:rsid w:val="1A296600"/>
    <w:rsid w:val="1A376009"/>
    <w:rsid w:val="1A3A0FAC"/>
    <w:rsid w:val="1A3A652A"/>
    <w:rsid w:val="1A6A5AA1"/>
    <w:rsid w:val="1A714640"/>
    <w:rsid w:val="1A8B18C0"/>
    <w:rsid w:val="1AAC6F41"/>
    <w:rsid w:val="1AAE5A23"/>
    <w:rsid w:val="1AD81FF3"/>
    <w:rsid w:val="1B0020DA"/>
    <w:rsid w:val="1B095F91"/>
    <w:rsid w:val="1B3E3BED"/>
    <w:rsid w:val="1B591812"/>
    <w:rsid w:val="1B5B17F1"/>
    <w:rsid w:val="1B715720"/>
    <w:rsid w:val="1B8A36B1"/>
    <w:rsid w:val="1B9C1EFB"/>
    <w:rsid w:val="1BB563FB"/>
    <w:rsid w:val="1BD6678C"/>
    <w:rsid w:val="1BDB04C9"/>
    <w:rsid w:val="1BFF58C4"/>
    <w:rsid w:val="1C132CB9"/>
    <w:rsid w:val="1C3A7103"/>
    <w:rsid w:val="1C5401AE"/>
    <w:rsid w:val="1C570697"/>
    <w:rsid w:val="1C6B6B63"/>
    <w:rsid w:val="1C707025"/>
    <w:rsid w:val="1C785EB4"/>
    <w:rsid w:val="1C876809"/>
    <w:rsid w:val="1C8B6C30"/>
    <w:rsid w:val="1CA172F4"/>
    <w:rsid w:val="1CAE14EE"/>
    <w:rsid w:val="1CC069A2"/>
    <w:rsid w:val="1CD736D2"/>
    <w:rsid w:val="1CE47C43"/>
    <w:rsid w:val="1CF57F82"/>
    <w:rsid w:val="1D0408F9"/>
    <w:rsid w:val="1D071D18"/>
    <w:rsid w:val="1D1F348C"/>
    <w:rsid w:val="1D2E2140"/>
    <w:rsid w:val="1D581B04"/>
    <w:rsid w:val="1D7761CA"/>
    <w:rsid w:val="1D7B6E40"/>
    <w:rsid w:val="1D876A22"/>
    <w:rsid w:val="1D8E11C0"/>
    <w:rsid w:val="1D993337"/>
    <w:rsid w:val="1DAD3838"/>
    <w:rsid w:val="1DAD79C6"/>
    <w:rsid w:val="1DC62C64"/>
    <w:rsid w:val="1DCA6102"/>
    <w:rsid w:val="1DCC5397"/>
    <w:rsid w:val="1DD70381"/>
    <w:rsid w:val="1E381F2C"/>
    <w:rsid w:val="1E3A38E9"/>
    <w:rsid w:val="1E431D8B"/>
    <w:rsid w:val="1E4579E0"/>
    <w:rsid w:val="1E510B1D"/>
    <w:rsid w:val="1E6A5591"/>
    <w:rsid w:val="1E890D7B"/>
    <w:rsid w:val="1E9D6342"/>
    <w:rsid w:val="1EA03F2A"/>
    <w:rsid w:val="1EA95896"/>
    <w:rsid w:val="1EC04ACC"/>
    <w:rsid w:val="1EC51EBA"/>
    <w:rsid w:val="1EC87E9E"/>
    <w:rsid w:val="1F08531D"/>
    <w:rsid w:val="1F187302"/>
    <w:rsid w:val="1F345BB9"/>
    <w:rsid w:val="1F6D647B"/>
    <w:rsid w:val="1F7C2189"/>
    <w:rsid w:val="1FA21DC4"/>
    <w:rsid w:val="1FAA59FA"/>
    <w:rsid w:val="1FB0429C"/>
    <w:rsid w:val="1FC7404A"/>
    <w:rsid w:val="1FEA76E6"/>
    <w:rsid w:val="1FF278D2"/>
    <w:rsid w:val="20823157"/>
    <w:rsid w:val="209A6502"/>
    <w:rsid w:val="20A76AC6"/>
    <w:rsid w:val="20AA53C7"/>
    <w:rsid w:val="20BF53E5"/>
    <w:rsid w:val="20C53EB1"/>
    <w:rsid w:val="20C96F0A"/>
    <w:rsid w:val="20D83B67"/>
    <w:rsid w:val="20FC31AD"/>
    <w:rsid w:val="20FD3BC7"/>
    <w:rsid w:val="210755E7"/>
    <w:rsid w:val="210F4C6C"/>
    <w:rsid w:val="21150894"/>
    <w:rsid w:val="21453932"/>
    <w:rsid w:val="215043BC"/>
    <w:rsid w:val="218341D8"/>
    <w:rsid w:val="218D534B"/>
    <w:rsid w:val="21966B4D"/>
    <w:rsid w:val="21B03A70"/>
    <w:rsid w:val="21B11F6B"/>
    <w:rsid w:val="21CA3322"/>
    <w:rsid w:val="21CB5768"/>
    <w:rsid w:val="21D60C7B"/>
    <w:rsid w:val="21E85491"/>
    <w:rsid w:val="21EF0BD5"/>
    <w:rsid w:val="21FD3309"/>
    <w:rsid w:val="220A6E6A"/>
    <w:rsid w:val="221A7DDE"/>
    <w:rsid w:val="223B55D7"/>
    <w:rsid w:val="228B7286"/>
    <w:rsid w:val="22940692"/>
    <w:rsid w:val="22B13F5E"/>
    <w:rsid w:val="22B710FF"/>
    <w:rsid w:val="22BC1014"/>
    <w:rsid w:val="22D906DD"/>
    <w:rsid w:val="23273CA9"/>
    <w:rsid w:val="233719B4"/>
    <w:rsid w:val="233F347B"/>
    <w:rsid w:val="236E09C5"/>
    <w:rsid w:val="238876C4"/>
    <w:rsid w:val="23A519A6"/>
    <w:rsid w:val="23B14AEB"/>
    <w:rsid w:val="23C56949"/>
    <w:rsid w:val="23E8536F"/>
    <w:rsid w:val="23E9398C"/>
    <w:rsid w:val="23F72195"/>
    <w:rsid w:val="23FC1F09"/>
    <w:rsid w:val="2412574F"/>
    <w:rsid w:val="24220F27"/>
    <w:rsid w:val="24277D94"/>
    <w:rsid w:val="243C1FD3"/>
    <w:rsid w:val="245D6AA3"/>
    <w:rsid w:val="246C14A5"/>
    <w:rsid w:val="247B0A92"/>
    <w:rsid w:val="248733A4"/>
    <w:rsid w:val="24CC20DC"/>
    <w:rsid w:val="24D94B8B"/>
    <w:rsid w:val="24DF504F"/>
    <w:rsid w:val="2511156D"/>
    <w:rsid w:val="25112992"/>
    <w:rsid w:val="25134332"/>
    <w:rsid w:val="2516426F"/>
    <w:rsid w:val="251E4E81"/>
    <w:rsid w:val="25497E35"/>
    <w:rsid w:val="255740E4"/>
    <w:rsid w:val="25937E41"/>
    <w:rsid w:val="2595678C"/>
    <w:rsid w:val="25A80553"/>
    <w:rsid w:val="25FD3629"/>
    <w:rsid w:val="25FE62FE"/>
    <w:rsid w:val="26077EF9"/>
    <w:rsid w:val="26153488"/>
    <w:rsid w:val="261A7650"/>
    <w:rsid w:val="26263963"/>
    <w:rsid w:val="26295EB7"/>
    <w:rsid w:val="265B00EB"/>
    <w:rsid w:val="26642E34"/>
    <w:rsid w:val="266E01B6"/>
    <w:rsid w:val="266F038E"/>
    <w:rsid w:val="267B239A"/>
    <w:rsid w:val="268A6C3D"/>
    <w:rsid w:val="26A3012C"/>
    <w:rsid w:val="26B757AE"/>
    <w:rsid w:val="26EA5295"/>
    <w:rsid w:val="26EC48E9"/>
    <w:rsid w:val="26F1798E"/>
    <w:rsid w:val="26F90661"/>
    <w:rsid w:val="26F90CAD"/>
    <w:rsid w:val="271B537F"/>
    <w:rsid w:val="272270BE"/>
    <w:rsid w:val="272C7BC5"/>
    <w:rsid w:val="27364817"/>
    <w:rsid w:val="277B039B"/>
    <w:rsid w:val="277B7B95"/>
    <w:rsid w:val="279139F9"/>
    <w:rsid w:val="27917D75"/>
    <w:rsid w:val="27A669E6"/>
    <w:rsid w:val="27C90045"/>
    <w:rsid w:val="280C486F"/>
    <w:rsid w:val="28160B04"/>
    <w:rsid w:val="28173C5B"/>
    <w:rsid w:val="28191392"/>
    <w:rsid w:val="282C0A6A"/>
    <w:rsid w:val="283E0E0A"/>
    <w:rsid w:val="28601812"/>
    <w:rsid w:val="28704F02"/>
    <w:rsid w:val="28742676"/>
    <w:rsid w:val="28901EDA"/>
    <w:rsid w:val="28BC34B2"/>
    <w:rsid w:val="28BE3282"/>
    <w:rsid w:val="28C13C1F"/>
    <w:rsid w:val="28CF13E1"/>
    <w:rsid w:val="28EB1503"/>
    <w:rsid w:val="28EC241A"/>
    <w:rsid w:val="28ED169F"/>
    <w:rsid w:val="28F031F7"/>
    <w:rsid w:val="28FA7C61"/>
    <w:rsid w:val="290F0868"/>
    <w:rsid w:val="291052B5"/>
    <w:rsid w:val="29123F80"/>
    <w:rsid w:val="29297F41"/>
    <w:rsid w:val="29315580"/>
    <w:rsid w:val="2931733F"/>
    <w:rsid w:val="293D2E7C"/>
    <w:rsid w:val="29620FDB"/>
    <w:rsid w:val="297827C8"/>
    <w:rsid w:val="298D7D15"/>
    <w:rsid w:val="29963006"/>
    <w:rsid w:val="29B276D0"/>
    <w:rsid w:val="29B92658"/>
    <w:rsid w:val="29DE43FE"/>
    <w:rsid w:val="29E42EAB"/>
    <w:rsid w:val="29F40D81"/>
    <w:rsid w:val="29F95737"/>
    <w:rsid w:val="29FA7F26"/>
    <w:rsid w:val="2A1576D7"/>
    <w:rsid w:val="2A18195D"/>
    <w:rsid w:val="2A27081E"/>
    <w:rsid w:val="2A3B5E27"/>
    <w:rsid w:val="2A5258CC"/>
    <w:rsid w:val="2AA1176E"/>
    <w:rsid w:val="2AAF67FF"/>
    <w:rsid w:val="2AB60284"/>
    <w:rsid w:val="2AD6102F"/>
    <w:rsid w:val="2B0C671F"/>
    <w:rsid w:val="2B3F52AC"/>
    <w:rsid w:val="2B4E40A2"/>
    <w:rsid w:val="2B7E0103"/>
    <w:rsid w:val="2B8742E6"/>
    <w:rsid w:val="2B9D04DF"/>
    <w:rsid w:val="2BAE3814"/>
    <w:rsid w:val="2BB37D43"/>
    <w:rsid w:val="2BCD68AC"/>
    <w:rsid w:val="2BF16005"/>
    <w:rsid w:val="2C0B5B44"/>
    <w:rsid w:val="2C2570E2"/>
    <w:rsid w:val="2C4C5B9B"/>
    <w:rsid w:val="2C5B4D0F"/>
    <w:rsid w:val="2C615ECD"/>
    <w:rsid w:val="2C6B7579"/>
    <w:rsid w:val="2C77008D"/>
    <w:rsid w:val="2C79741F"/>
    <w:rsid w:val="2C7A16E3"/>
    <w:rsid w:val="2C8D77CE"/>
    <w:rsid w:val="2C9A5300"/>
    <w:rsid w:val="2CBB0349"/>
    <w:rsid w:val="2CBE7DD4"/>
    <w:rsid w:val="2CC64D0C"/>
    <w:rsid w:val="2CE42A07"/>
    <w:rsid w:val="2CEE5C64"/>
    <w:rsid w:val="2D1524E7"/>
    <w:rsid w:val="2D2A427D"/>
    <w:rsid w:val="2D382A58"/>
    <w:rsid w:val="2D43533C"/>
    <w:rsid w:val="2D464358"/>
    <w:rsid w:val="2D755DC9"/>
    <w:rsid w:val="2D7A1AB9"/>
    <w:rsid w:val="2D7D2ACC"/>
    <w:rsid w:val="2D893606"/>
    <w:rsid w:val="2DB211B0"/>
    <w:rsid w:val="2DE939EB"/>
    <w:rsid w:val="2E051AC6"/>
    <w:rsid w:val="2E2070AC"/>
    <w:rsid w:val="2E482E87"/>
    <w:rsid w:val="2E634CD2"/>
    <w:rsid w:val="2E693B9D"/>
    <w:rsid w:val="2E7A0D1F"/>
    <w:rsid w:val="2E907B31"/>
    <w:rsid w:val="2EA97ABE"/>
    <w:rsid w:val="2EBA0DC4"/>
    <w:rsid w:val="2EF064AF"/>
    <w:rsid w:val="2EFE6790"/>
    <w:rsid w:val="2F0D2121"/>
    <w:rsid w:val="2F0F0804"/>
    <w:rsid w:val="2F1C6F55"/>
    <w:rsid w:val="2F202C30"/>
    <w:rsid w:val="2F227DB0"/>
    <w:rsid w:val="2F2A0C05"/>
    <w:rsid w:val="2F385393"/>
    <w:rsid w:val="2F386B10"/>
    <w:rsid w:val="2F3D06ED"/>
    <w:rsid w:val="2F42539D"/>
    <w:rsid w:val="2F457235"/>
    <w:rsid w:val="2F934941"/>
    <w:rsid w:val="2FA55582"/>
    <w:rsid w:val="2FCD16E8"/>
    <w:rsid w:val="2FEE3B31"/>
    <w:rsid w:val="2FF868E4"/>
    <w:rsid w:val="2FFB4C20"/>
    <w:rsid w:val="301D00E9"/>
    <w:rsid w:val="30224E9D"/>
    <w:rsid w:val="303A4856"/>
    <w:rsid w:val="30465F92"/>
    <w:rsid w:val="305F6410"/>
    <w:rsid w:val="306B0F57"/>
    <w:rsid w:val="309265CF"/>
    <w:rsid w:val="30932E4A"/>
    <w:rsid w:val="30962F3E"/>
    <w:rsid w:val="30B16829"/>
    <w:rsid w:val="30C21489"/>
    <w:rsid w:val="30CA25F1"/>
    <w:rsid w:val="30E60E27"/>
    <w:rsid w:val="30F60E61"/>
    <w:rsid w:val="31052300"/>
    <w:rsid w:val="31070977"/>
    <w:rsid w:val="3107229A"/>
    <w:rsid w:val="310C2DFE"/>
    <w:rsid w:val="313A5651"/>
    <w:rsid w:val="3172003A"/>
    <w:rsid w:val="3176430F"/>
    <w:rsid w:val="317E1A3E"/>
    <w:rsid w:val="31897C53"/>
    <w:rsid w:val="319076D6"/>
    <w:rsid w:val="31921D12"/>
    <w:rsid w:val="31A60E34"/>
    <w:rsid w:val="31DE7A9A"/>
    <w:rsid w:val="31E31CB4"/>
    <w:rsid w:val="31E81F3E"/>
    <w:rsid w:val="31FD0002"/>
    <w:rsid w:val="32053433"/>
    <w:rsid w:val="320B6B97"/>
    <w:rsid w:val="32140F0B"/>
    <w:rsid w:val="32237BD7"/>
    <w:rsid w:val="3228068B"/>
    <w:rsid w:val="32495145"/>
    <w:rsid w:val="3257413C"/>
    <w:rsid w:val="325C5F38"/>
    <w:rsid w:val="326A298B"/>
    <w:rsid w:val="327B08F8"/>
    <w:rsid w:val="32903351"/>
    <w:rsid w:val="32906B7B"/>
    <w:rsid w:val="32907957"/>
    <w:rsid w:val="32924E5D"/>
    <w:rsid w:val="32997A30"/>
    <w:rsid w:val="32AC08D0"/>
    <w:rsid w:val="32AD7B3D"/>
    <w:rsid w:val="32C96ABC"/>
    <w:rsid w:val="32D7600B"/>
    <w:rsid w:val="33065A2C"/>
    <w:rsid w:val="33107817"/>
    <w:rsid w:val="3314361D"/>
    <w:rsid w:val="331A7DF9"/>
    <w:rsid w:val="331D630A"/>
    <w:rsid w:val="331D7A62"/>
    <w:rsid w:val="334566B2"/>
    <w:rsid w:val="335910AF"/>
    <w:rsid w:val="337B43F1"/>
    <w:rsid w:val="337E468B"/>
    <w:rsid w:val="338E7A3C"/>
    <w:rsid w:val="33A33462"/>
    <w:rsid w:val="33D455D9"/>
    <w:rsid w:val="33D75A11"/>
    <w:rsid w:val="33DC4574"/>
    <w:rsid w:val="33EB7A2D"/>
    <w:rsid w:val="33F36B83"/>
    <w:rsid w:val="33F62F12"/>
    <w:rsid w:val="340409CE"/>
    <w:rsid w:val="340D16CD"/>
    <w:rsid w:val="3416479D"/>
    <w:rsid w:val="342D7C03"/>
    <w:rsid w:val="34365371"/>
    <w:rsid w:val="344574CB"/>
    <w:rsid w:val="344B2FB9"/>
    <w:rsid w:val="34672ED1"/>
    <w:rsid w:val="346A09F2"/>
    <w:rsid w:val="34821F1C"/>
    <w:rsid w:val="348D518E"/>
    <w:rsid w:val="34BE3EAF"/>
    <w:rsid w:val="34CD7C77"/>
    <w:rsid w:val="350C2532"/>
    <w:rsid w:val="3514498D"/>
    <w:rsid w:val="351C683A"/>
    <w:rsid w:val="352B1920"/>
    <w:rsid w:val="3578528D"/>
    <w:rsid w:val="35864952"/>
    <w:rsid w:val="35DA7F5F"/>
    <w:rsid w:val="35DB4428"/>
    <w:rsid w:val="35E235CC"/>
    <w:rsid w:val="35F15BC1"/>
    <w:rsid w:val="361F3323"/>
    <w:rsid w:val="364B4555"/>
    <w:rsid w:val="36530073"/>
    <w:rsid w:val="366E1C7D"/>
    <w:rsid w:val="36910FAF"/>
    <w:rsid w:val="36A40608"/>
    <w:rsid w:val="36A87C74"/>
    <w:rsid w:val="36AA3BCD"/>
    <w:rsid w:val="36AA71AE"/>
    <w:rsid w:val="36B63C96"/>
    <w:rsid w:val="36F71C88"/>
    <w:rsid w:val="36FA436C"/>
    <w:rsid w:val="370364D6"/>
    <w:rsid w:val="370E2518"/>
    <w:rsid w:val="373D19EB"/>
    <w:rsid w:val="373E47EB"/>
    <w:rsid w:val="376E164A"/>
    <w:rsid w:val="37834C69"/>
    <w:rsid w:val="3784264F"/>
    <w:rsid w:val="3784394E"/>
    <w:rsid w:val="3785794A"/>
    <w:rsid w:val="379E64AF"/>
    <w:rsid w:val="37DF26E6"/>
    <w:rsid w:val="37F844A2"/>
    <w:rsid w:val="381013F6"/>
    <w:rsid w:val="382515AE"/>
    <w:rsid w:val="382518B7"/>
    <w:rsid w:val="38567AD5"/>
    <w:rsid w:val="385F704C"/>
    <w:rsid w:val="387352FF"/>
    <w:rsid w:val="387A12D2"/>
    <w:rsid w:val="38D71A07"/>
    <w:rsid w:val="38DB6650"/>
    <w:rsid w:val="38E03C05"/>
    <w:rsid w:val="38F01B25"/>
    <w:rsid w:val="38FB5FE9"/>
    <w:rsid w:val="392D4BD1"/>
    <w:rsid w:val="393A1125"/>
    <w:rsid w:val="396C25F5"/>
    <w:rsid w:val="39702475"/>
    <w:rsid w:val="397370BD"/>
    <w:rsid w:val="39816865"/>
    <w:rsid w:val="39841AAA"/>
    <w:rsid w:val="39B64E4A"/>
    <w:rsid w:val="39E22E98"/>
    <w:rsid w:val="39EE2200"/>
    <w:rsid w:val="3A080A43"/>
    <w:rsid w:val="3A1448E4"/>
    <w:rsid w:val="3A5052D6"/>
    <w:rsid w:val="3A6440FF"/>
    <w:rsid w:val="3A6909AF"/>
    <w:rsid w:val="3A746AF2"/>
    <w:rsid w:val="3A8E5304"/>
    <w:rsid w:val="3A95305B"/>
    <w:rsid w:val="3A975F76"/>
    <w:rsid w:val="3AA40EFC"/>
    <w:rsid w:val="3ABA19E8"/>
    <w:rsid w:val="3ACB5746"/>
    <w:rsid w:val="3ACC02A0"/>
    <w:rsid w:val="3B046167"/>
    <w:rsid w:val="3B0F1125"/>
    <w:rsid w:val="3B3760C6"/>
    <w:rsid w:val="3B3F4129"/>
    <w:rsid w:val="3B5055FA"/>
    <w:rsid w:val="3B824908"/>
    <w:rsid w:val="3B897549"/>
    <w:rsid w:val="3B9F34BA"/>
    <w:rsid w:val="3BB4559D"/>
    <w:rsid w:val="3C150E55"/>
    <w:rsid w:val="3C1C547F"/>
    <w:rsid w:val="3C201190"/>
    <w:rsid w:val="3C227FDF"/>
    <w:rsid w:val="3C273E69"/>
    <w:rsid w:val="3C3345C0"/>
    <w:rsid w:val="3C436E7E"/>
    <w:rsid w:val="3C4635D8"/>
    <w:rsid w:val="3C5445E6"/>
    <w:rsid w:val="3C6B7762"/>
    <w:rsid w:val="3C717B43"/>
    <w:rsid w:val="3C72594D"/>
    <w:rsid w:val="3C852BBA"/>
    <w:rsid w:val="3C89298A"/>
    <w:rsid w:val="3C8F462E"/>
    <w:rsid w:val="3C9C6F09"/>
    <w:rsid w:val="3CA02E13"/>
    <w:rsid w:val="3CA474AE"/>
    <w:rsid w:val="3D2A1E31"/>
    <w:rsid w:val="3D31732A"/>
    <w:rsid w:val="3D4C5DC9"/>
    <w:rsid w:val="3D556739"/>
    <w:rsid w:val="3D6901BA"/>
    <w:rsid w:val="3D6E518A"/>
    <w:rsid w:val="3D9C489C"/>
    <w:rsid w:val="3DAC1AA7"/>
    <w:rsid w:val="3DC20160"/>
    <w:rsid w:val="3DD032DC"/>
    <w:rsid w:val="3DE63B7F"/>
    <w:rsid w:val="3DE649CD"/>
    <w:rsid w:val="3DEA58C0"/>
    <w:rsid w:val="3DF428F6"/>
    <w:rsid w:val="3E025C7F"/>
    <w:rsid w:val="3E0D1F91"/>
    <w:rsid w:val="3E28390D"/>
    <w:rsid w:val="3E2B7DC7"/>
    <w:rsid w:val="3E397419"/>
    <w:rsid w:val="3E591246"/>
    <w:rsid w:val="3E8D35FD"/>
    <w:rsid w:val="3EA77A5B"/>
    <w:rsid w:val="3EA94CD2"/>
    <w:rsid w:val="3EAB7195"/>
    <w:rsid w:val="3EC72923"/>
    <w:rsid w:val="3EC81399"/>
    <w:rsid w:val="3ECE0078"/>
    <w:rsid w:val="3EF85FB4"/>
    <w:rsid w:val="3F154918"/>
    <w:rsid w:val="3F2A3D43"/>
    <w:rsid w:val="3F316472"/>
    <w:rsid w:val="3F474DC1"/>
    <w:rsid w:val="3FB35CE8"/>
    <w:rsid w:val="3FC131A3"/>
    <w:rsid w:val="3FC956FF"/>
    <w:rsid w:val="40316E34"/>
    <w:rsid w:val="40377443"/>
    <w:rsid w:val="40395741"/>
    <w:rsid w:val="40785E3F"/>
    <w:rsid w:val="40843437"/>
    <w:rsid w:val="408B3D09"/>
    <w:rsid w:val="40B337F4"/>
    <w:rsid w:val="40BC4BDF"/>
    <w:rsid w:val="40E272F9"/>
    <w:rsid w:val="40EC1796"/>
    <w:rsid w:val="41110E40"/>
    <w:rsid w:val="413D2A5E"/>
    <w:rsid w:val="414C7668"/>
    <w:rsid w:val="41556B95"/>
    <w:rsid w:val="415C2567"/>
    <w:rsid w:val="4160570A"/>
    <w:rsid w:val="41797ACF"/>
    <w:rsid w:val="417F2187"/>
    <w:rsid w:val="41A665ED"/>
    <w:rsid w:val="41C10DEC"/>
    <w:rsid w:val="41C302C4"/>
    <w:rsid w:val="41F466FD"/>
    <w:rsid w:val="42200D78"/>
    <w:rsid w:val="422B20FC"/>
    <w:rsid w:val="425D3385"/>
    <w:rsid w:val="42655EF1"/>
    <w:rsid w:val="4271404B"/>
    <w:rsid w:val="428E075C"/>
    <w:rsid w:val="42A01229"/>
    <w:rsid w:val="42A86FA5"/>
    <w:rsid w:val="42AE1BD7"/>
    <w:rsid w:val="42BD444A"/>
    <w:rsid w:val="42D2186F"/>
    <w:rsid w:val="42F8150C"/>
    <w:rsid w:val="43096399"/>
    <w:rsid w:val="43131958"/>
    <w:rsid w:val="432E6167"/>
    <w:rsid w:val="434A008B"/>
    <w:rsid w:val="436009C5"/>
    <w:rsid w:val="4374755C"/>
    <w:rsid w:val="43830673"/>
    <w:rsid w:val="438B4553"/>
    <w:rsid w:val="43A95CA0"/>
    <w:rsid w:val="43B908C3"/>
    <w:rsid w:val="43C27976"/>
    <w:rsid w:val="43E32BEF"/>
    <w:rsid w:val="43F035FE"/>
    <w:rsid w:val="43F307BA"/>
    <w:rsid w:val="43F86767"/>
    <w:rsid w:val="440D5045"/>
    <w:rsid w:val="44161D38"/>
    <w:rsid w:val="4448349A"/>
    <w:rsid w:val="448B6C3C"/>
    <w:rsid w:val="449B6498"/>
    <w:rsid w:val="44B60D6C"/>
    <w:rsid w:val="44EA2022"/>
    <w:rsid w:val="45125377"/>
    <w:rsid w:val="451A41BB"/>
    <w:rsid w:val="45222C93"/>
    <w:rsid w:val="45223C67"/>
    <w:rsid w:val="452D654C"/>
    <w:rsid w:val="45343B82"/>
    <w:rsid w:val="454E358C"/>
    <w:rsid w:val="4558053D"/>
    <w:rsid w:val="4575761A"/>
    <w:rsid w:val="457B3904"/>
    <w:rsid w:val="4588636E"/>
    <w:rsid w:val="45CE2880"/>
    <w:rsid w:val="45DB4747"/>
    <w:rsid w:val="45E46D9B"/>
    <w:rsid w:val="45EB12DF"/>
    <w:rsid w:val="460C5979"/>
    <w:rsid w:val="46143BF9"/>
    <w:rsid w:val="461A7280"/>
    <w:rsid w:val="461F7D13"/>
    <w:rsid w:val="46440B9D"/>
    <w:rsid w:val="464424B7"/>
    <w:rsid w:val="46531698"/>
    <w:rsid w:val="465616A1"/>
    <w:rsid w:val="466331E7"/>
    <w:rsid w:val="46973936"/>
    <w:rsid w:val="46BB521E"/>
    <w:rsid w:val="46DA2D66"/>
    <w:rsid w:val="46ED26F5"/>
    <w:rsid w:val="46F93470"/>
    <w:rsid w:val="46FD08EA"/>
    <w:rsid w:val="472259CD"/>
    <w:rsid w:val="47364C3E"/>
    <w:rsid w:val="473718A6"/>
    <w:rsid w:val="474C55DD"/>
    <w:rsid w:val="475F0236"/>
    <w:rsid w:val="47652CD6"/>
    <w:rsid w:val="47765D39"/>
    <w:rsid w:val="47905039"/>
    <w:rsid w:val="47921E7B"/>
    <w:rsid w:val="47942231"/>
    <w:rsid w:val="47965052"/>
    <w:rsid w:val="479B4036"/>
    <w:rsid w:val="47B402DB"/>
    <w:rsid w:val="47C01792"/>
    <w:rsid w:val="47F71263"/>
    <w:rsid w:val="48140000"/>
    <w:rsid w:val="48141ACE"/>
    <w:rsid w:val="48260CBB"/>
    <w:rsid w:val="4842139D"/>
    <w:rsid w:val="486467EF"/>
    <w:rsid w:val="486534C2"/>
    <w:rsid w:val="486A2186"/>
    <w:rsid w:val="48851195"/>
    <w:rsid w:val="4888500C"/>
    <w:rsid w:val="489154E9"/>
    <w:rsid w:val="48982AA9"/>
    <w:rsid w:val="48A36F53"/>
    <w:rsid w:val="48AE74B7"/>
    <w:rsid w:val="48E53D44"/>
    <w:rsid w:val="48EE3DC5"/>
    <w:rsid w:val="48FE517D"/>
    <w:rsid w:val="492C25B2"/>
    <w:rsid w:val="492D09AD"/>
    <w:rsid w:val="49857BCF"/>
    <w:rsid w:val="49870E3C"/>
    <w:rsid w:val="49933FE7"/>
    <w:rsid w:val="4993410E"/>
    <w:rsid w:val="499D41B8"/>
    <w:rsid w:val="49BC2BBB"/>
    <w:rsid w:val="49BD5D57"/>
    <w:rsid w:val="49DE29F2"/>
    <w:rsid w:val="4A04441E"/>
    <w:rsid w:val="4A111330"/>
    <w:rsid w:val="4A147AD7"/>
    <w:rsid w:val="4A265E8A"/>
    <w:rsid w:val="4A4354F6"/>
    <w:rsid w:val="4A473280"/>
    <w:rsid w:val="4A697BBD"/>
    <w:rsid w:val="4A6D67FC"/>
    <w:rsid w:val="4A727DB7"/>
    <w:rsid w:val="4A9324EB"/>
    <w:rsid w:val="4AA70885"/>
    <w:rsid w:val="4AAB7CF7"/>
    <w:rsid w:val="4AB93A34"/>
    <w:rsid w:val="4AC31003"/>
    <w:rsid w:val="4AE93159"/>
    <w:rsid w:val="4AF407BC"/>
    <w:rsid w:val="4AFE7272"/>
    <w:rsid w:val="4B071095"/>
    <w:rsid w:val="4B1619A5"/>
    <w:rsid w:val="4B225F5E"/>
    <w:rsid w:val="4B3C1919"/>
    <w:rsid w:val="4B422432"/>
    <w:rsid w:val="4B5D5A47"/>
    <w:rsid w:val="4B830C79"/>
    <w:rsid w:val="4B852471"/>
    <w:rsid w:val="4B877F9E"/>
    <w:rsid w:val="4B8A6B0D"/>
    <w:rsid w:val="4BCD06D8"/>
    <w:rsid w:val="4BCD4A90"/>
    <w:rsid w:val="4BDA194A"/>
    <w:rsid w:val="4C054B44"/>
    <w:rsid w:val="4C06437D"/>
    <w:rsid w:val="4C170C12"/>
    <w:rsid w:val="4C5961DF"/>
    <w:rsid w:val="4C7D4D1F"/>
    <w:rsid w:val="4CBD1CE4"/>
    <w:rsid w:val="4CC145E0"/>
    <w:rsid w:val="4CC4039E"/>
    <w:rsid w:val="4CD16770"/>
    <w:rsid w:val="4CE74DCF"/>
    <w:rsid w:val="4CED45C3"/>
    <w:rsid w:val="4CEE75D5"/>
    <w:rsid w:val="4CFA690A"/>
    <w:rsid w:val="4CFC699C"/>
    <w:rsid w:val="4D051AA7"/>
    <w:rsid w:val="4D26550C"/>
    <w:rsid w:val="4D473DF4"/>
    <w:rsid w:val="4D5F5637"/>
    <w:rsid w:val="4D650EA1"/>
    <w:rsid w:val="4D6522FB"/>
    <w:rsid w:val="4D812B83"/>
    <w:rsid w:val="4D8C799A"/>
    <w:rsid w:val="4E27683A"/>
    <w:rsid w:val="4E4A0175"/>
    <w:rsid w:val="4E561F70"/>
    <w:rsid w:val="4E606E6F"/>
    <w:rsid w:val="4E746D7E"/>
    <w:rsid w:val="4E9578F6"/>
    <w:rsid w:val="4EB325FE"/>
    <w:rsid w:val="4EEF382E"/>
    <w:rsid w:val="4EF80226"/>
    <w:rsid w:val="4F1F206F"/>
    <w:rsid w:val="4F350080"/>
    <w:rsid w:val="4F4961A9"/>
    <w:rsid w:val="4F557AEA"/>
    <w:rsid w:val="4F6F7435"/>
    <w:rsid w:val="4FA165F3"/>
    <w:rsid w:val="4FAF0333"/>
    <w:rsid w:val="4FC774B2"/>
    <w:rsid w:val="4FC84098"/>
    <w:rsid w:val="4FCB4010"/>
    <w:rsid w:val="4FFD174C"/>
    <w:rsid w:val="4FFE2ADB"/>
    <w:rsid w:val="50046CB0"/>
    <w:rsid w:val="500E52E0"/>
    <w:rsid w:val="500E7615"/>
    <w:rsid w:val="501F4A1C"/>
    <w:rsid w:val="502961CA"/>
    <w:rsid w:val="50471FD9"/>
    <w:rsid w:val="50631074"/>
    <w:rsid w:val="50743E22"/>
    <w:rsid w:val="50885231"/>
    <w:rsid w:val="5090780F"/>
    <w:rsid w:val="50911DD6"/>
    <w:rsid w:val="50963B8E"/>
    <w:rsid w:val="50B25D39"/>
    <w:rsid w:val="50D42F2D"/>
    <w:rsid w:val="50DC0667"/>
    <w:rsid w:val="50F663C8"/>
    <w:rsid w:val="510542AB"/>
    <w:rsid w:val="51057CB2"/>
    <w:rsid w:val="51212B5C"/>
    <w:rsid w:val="51304D40"/>
    <w:rsid w:val="51311024"/>
    <w:rsid w:val="51424DEF"/>
    <w:rsid w:val="515F16A6"/>
    <w:rsid w:val="51703603"/>
    <w:rsid w:val="517A3076"/>
    <w:rsid w:val="51847E0F"/>
    <w:rsid w:val="51867298"/>
    <w:rsid w:val="518C0405"/>
    <w:rsid w:val="519F7DEB"/>
    <w:rsid w:val="51A61502"/>
    <w:rsid w:val="51C25E9E"/>
    <w:rsid w:val="51CD1E71"/>
    <w:rsid w:val="51E345E8"/>
    <w:rsid w:val="51E733A7"/>
    <w:rsid w:val="51EA278D"/>
    <w:rsid w:val="51F57AD5"/>
    <w:rsid w:val="51FC3B36"/>
    <w:rsid w:val="5201060D"/>
    <w:rsid w:val="52587793"/>
    <w:rsid w:val="525B7C4D"/>
    <w:rsid w:val="526350EF"/>
    <w:rsid w:val="528D48CB"/>
    <w:rsid w:val="52BA7C03"/>
    <w:rsid w:val="53093264"/>
    <w:rsid w:val="53337548"/>
    <w:rsid w:val="53345C5C"/>
    <w:rsid w:val="53404784"/>
    <w:rsid w:val="5342050B"/>
    <w:rsid w:val="534C3E5D"/>
    <w:rsid w:val="53503C09"/>
    <w:rsid w:val="535C2472"/>
    <w:rsid w:val="53A91A96"/>
    <w:rsid w:val="53DB3477"/>
    <w:rsid w:val="540425B8"/>
    <w:rsid w:val="540C5F16"/>
    <w:rsid w:val="54341886"/>
    <w:rsid w:val="54383636"/>
    <w:rsid w:val="544E6AA5"/>
    <w:rsid w:val="54681048"/>
    <w:rsid w:val="549677FD"/>
    <w:rsid w:val="549C3E19"/>
    <w:rsid w:val="54B015CF"/>
    <w:rsid w:val="54EE14FF"/>
    <w:rsid w:val="54F66184"/>
    <w:rsid w:val="54F90800"/>
    <w:rsid w:val="54FA3740"/>
    <w:rsid w:val="550C561A"/>
    <w:rsid w:val="55415EA6"/>
    <w:rsid w:val="557F0120"/>
    <w:rsid w:val="558C10FE"/>
    <w:rsid w:val="55B96BEF"/>
    <w:rsid w:val="55DA1BA0"/>
    <w:rsid w:val="55EB4660"/>
    <w:rsid w:val="56220F25"/>
    <w:rsid w:val="563A0677"/>
    <w:rsid w:val="563B523D"/>
    <w:rsid w:val="564112F7"/>
    <w:rsid w:val="56476CAA"/>
    <w:rsid w:val="565448C2"/>
    <w:rsid w:val="56613929"/>
    <w:rsid w:val="566A48ED"/>
    <w:rsid w:val="5686287C"/>
    <w:rsid w:val="56A2730D"/>
    <w:rsid w:val="56C761E9"/>
    <w:rsid w:val="56E22A3F"/>
    <w:rsid w:val="56F67DD8"/>
    <w:rsid w:val="573711D5"/>
    <w:rsid w:val="57401834"/>
    <w:rsid w:val="57450F2F"/>
    <w:rsid w:val="57466335"/>
    <w:rsid w:val="57473FF2"/>
    <w:rsid w:val="57595727"/>
    <w:rsid w:val="575F63A6"/>
    <w:rsid w:val="576011AC"/>
    <w:rsid w:val="57624E34"/>
    <w:rsid w:val="57710DCA"/>
    <w:rsid w:val="577C2B42"/>
    <w:rsid w:val="57D211AD"/>
    <w:rsid w:val="57D506FD"/>
    <w:rsid w:val="57E71A97"/>
    <w:rsid w:val="58231731"/>
    <w:rsid w:val="584422F9"/>
    <w:rsid w:val="58496E10"/>
    <w:rsid w:val="584C68D1"/>
    <w:rsid w:val="58500F22"/>
    <w:rsid w:val="586526C1"/>
    <w:rsid w:val="58654617"/>
    <w:rsid w:val="58654A04"/>
    <w:rsid w:val="586A0B91"/>
    <w:rsid w:val="586E15A3"/>
    <w:rsid w:val="586E6B2A"/>
    <w:rsid w:val="588615FC"/>
    <w:rsid w:val="588E71C2"/>
    <w:rsid w:val="58AA1473"/>
    <w:rsid w:val="58BF2B83"/>
    <w:rsid w:val="58C27C55"/>
    <w:rsid w:val="58DD1B41"/>
    <w:rsid w:val="58F874D5"/>
    <w:rsid w:val="590C229C"/>
    <w:rsid w:val="59522F84"/>
    <w:rsid w:val="5953283A"/>
    <w:rsid w:val="597712BB"/>
    <w:rsid w:val="598A122A"/>
    <w:rsid w:val="59903108"/>
    <w:rsid w:val="599F668A"/>
    <w:rsid w:val="59BA25EE"/>
    <w:rsid w:val="59DC5DEF"/>
    <w:rsid w:val="59E446BC"/>
    <w:rsid w:val="5A001EFA"/>
    <w:rsid w:val="5A1A01D6"/>
    <w:rsid w:val="5A34421E"/>
    <w:rsid w:val="5A37043D"/>
    <w:rsid w:val="5A575F1A"/>
    <w:rsid w:val="5A5C6FCA"/>
    <w:rsid w:val="5A5F63C7"/>
    <w:rsid w:val="5A6C550A"/>
    <w:rsid w:val="5A6D35B0"/>
    <w:rsid w:val="5A752961"/>
    <w:rsid w:val="5A7739D0"/>
    <w:rsid w:val="5A796F13"/>
    <w:rsid w:val="5A7B6860"/>
    <w:rsid w:val="5ABB30AD"/>
    <w:rsid w:val="5AEB59F7"/>
    <w:rsid w:val="5AEE5506"/>
    <w:rsid w:val="5B02726E"/>
    <w:rsid w:val="5B07296F"/>
    <w:rsid w:val="5B194505"/>
    <w:rsid w:val="5B296498"/>
    <w:rsid w:val="5B586738"/>
    <w:rsid w:val="5B61307E"/>
    <w:rsid w:val="5B7201CA"/>
    <w:rsid w:val="5B7F7DB7"/>
    <w:rsid w:val="5B8041A2"/>
    <w:rsid w:val="5B8B27C8"/>
    <w:rsid w:val="5B91446B"/>
    <w:rsid w:val="5B9B6B31"/>
    <w:rsid w:val="5BA2278A"/>
    <w:rsid w:val="5BB2413D"/>
    <w:rsid w:val="5BB4407A"/>
    <w:rsid w:val="5BB87889"/>
    <w:rsid w:val="5BBD22B9"/>
    <w:rsid w:val="5BBE5F6C"/>
    <w:rsid w:val="5BD362F6"/>
    <w:rsid w:val="5BFD364C"/>
    <w:rsid w:val="5C0301EB"/>
    <w:rsid w:val="5C1353E8"/>
    <w:rsid w:val="5C2D40FF"/>
    <w:rsid w:val="5C31061B"/>
    <w:rsid w:val="5C35599C"/>
    <w:rsid w:val="5C3F2A0C"/>
    <w:rsid w:val="5C467446"/>
    <w:rsid w:val="5C645E12"/>
    <w:rsid w:val="5C9743DE"/>
    <w:rsid w:val="5CAC33CC"/>
    <w:rsid w:val="5CB928EC"/>
    <w:rsid w:val="5CC51B50"/>
    <w:rsid w:val="5CCF2B1D"/>
    <w:rsid w:val="5CE90CAB"/>
    <w:rsid w:val="5CED75F7"/>
    <w:rsid w:val="5D0011A4"/>
    <w:rsid w:val="5D0067D9"/>
    <w:rsid w:val="5DCC2907"/>
    <w:rsid w:val="5DFD51DB"/>
    <w:rsid w:val="5E383430"/>
    <w:rsid w:val="5E3A32C4"/>
    <w:rsid w:val="5E822968"/>
    <w:rsid w:val="5E970624"/>
    <w:rsid w:val="5EA45A96"/>
    <w:rsid w:val="5ECA398E"/>
    <w:rsid w:val="5ECC36FB"/>
    <w:rsid w:val="5F247119"/>
    <w:rsid w:val="5F28201E"/>
    <w:rsid w:val="5F451740"/>
    <w:rsid w:val="5F453807"/>
    <w:rsid w:val="5F4630A2"/>
    <w:rsid w:val="5F6566B8"/>
    <w:rsid w:val="5F892BA1"/>
    <w:rsid w:val="5F92631E"/>
    <w:rsid w:val="5FD84E0F"/>
    <w:rsid w:val="5FDC1FA0"/>
    <w:rsid w:val="5FF97505"/>
    <w:rsid w:val="60182D05"/>
    <w:rsid w:val="602E6ECF"/>
    <w:rsid w:val="6032541E"/>
    <w:rsid w:val="6035009F"/>
    <w:rsid w:val="604F1141"/>
    <w:rsid w:val="60605B4B"/>
    <w:rsid w:val="607C3753"/>
    <w:rsid w:val="608057BA"/>
    <w:rsid w:val="60B16995"/>
    <w:rsid w:val="60C30855"/>
    <w:rsid w:val="60C94C4F"/>
    <w:rsid w:val="60CD7430"/>
    <w:rsid w:val="61047DB5"/>
    <w:rsid w:val="6125529C"/>
    <w:rsid w:val="61336320"/>
    <w:rsid w:val="61421EFD"/>
    <w:rsid w:val="614579DD"/>
    <w:rsid w:val="614A5CFE"/>
    <w:rsid w:val="615C5041"/>
    <w:rsid w:val="61663D3C"/>
    <w:rsid w:val="61836D2D"/>
    <w:rsid w:val="6183704F"/>
    <w:rsid w:val="6184104A"/>
    <w:rsid w:val="61A0097A"/>
    <w:rsid w:val="61B124B9"/>
    <w:rsid w:val="61C04464"/>
    <w:rsid w:val="61C651DB"/>
    <w:rsid w:val="61D033FB"/>
    <w:rsid w:val="61F56AE1"/>
    <w:rsid w:val="61F776D9"/>
    <w:rsid w:val="61FC132F"/>
    <w:rsid w:val="621D2DAF"/>
    <w:rsid w:val="623B3B24"/>
    <w:rsid w:val="626026D3"/>
    <w:rsid w:val="62665AEF"/>
    <w:rsid w:val="627C0500"/>
    <w:rsid w:val="62BB2AC4"/>
    <w:rsid w:val="62C979EF"/>
    <w:rsid w:val="62CD55E1"/>
    <w:rsid w:val="62F07BB5"/>
    <w:rsid w:val="63443172"/>
    <w:rsid w:val="63492D98"/>
    <w:rsid w:val="636A7C65"/>
    <w:rsid w:val="63892809"/>
    <w:rsid w:val="63B02273"/>
    <w:rsid w:val="63CA18F7"/>
    <w:rsid w:val="63DA2327"/>
    <w:rsid w:val="63DF0F9A"/>
    <w:rsid w:val="63F5248D"/>
    <w:rsid w:val="641F4E51"/>
    <w:rsid w:val="6427559F"/>
    <w:rsid w:val="644C12C9"/>
    <w:rsid w:val="64583811"/>
    <w:rsid w:val="645915A9"/>
    <w:rsid w:val="64672122"/>
    <w:rsid w:val="646C4D46"/>
    <w:rsid w:val="64861BD8"/>
    <w:rsid w:val="64945A5C"/>
    <w:rsid w:val="64C31879"/>
    <w:rsid w:val="64F32DDD"/>
    <w:rsid w:val="64F85D34"/>
    <w:rsid w:val="65096041"/>
    <w:rsid w:val="652C6EAC"/>
    <w:rsid w:val="65480108"/>
    <w:rsid w:val="65564B32"/>
    <w:rsid w:val="65583309"/>
    <w:rsid w:val="65687112"/>
    <w:rsid w:val="658D2D23"/>
    <w:rsid w:val="659C15F7"/>
    <w:rsid w:val="65BE50AB"/>
    <w:rsid w:val="65C4358D"/>
    <w:rsid w:val="65C92862"/>
    <w:rsid w:val="65D265F1"/>
    <w:rsid w:val="65E91E46"/>
    <w:rsid w:val="65F42CC6"/>
    <w:rsid w:val="6609522C"/>
    <w:rsid w:val="660C0867"/>
    <w:rsid w:val="66114B4E"/>
    <w:rsid w:val="662F20B9"/>
    <w:rsid w:val="66344591"/>
    <w:rsid w:val="663C65B1"/>
    <w:rsid w:val="664805B8"/>
    <w:rsid w:val="664D7869"/>
    <w:rsid w:val="666D20A5"/>
    <w:rsid w:val="666E6E4C"/>
    <w:rsid w:val="668C2240"/>
    <w:rsid w:val="668F59AD"/>
    <w:rsid w:val="66AB0BAF"/>
    <w:rsid w:val="66CF27F6"/>
    <w:rsid w:val="670A71A8"/>
    <w:rsid w:val="670C7BA6"/>
    <w:rsid w:val="671D41D2"/>
    <w:rsid w:val="67287C76"/>
    <w:rsid w:val="67430C62"/>
    <w:rsid w:val="67580328"/>
    <w:rsid w:val="67942D08"/>
    <w:rsid w:val="67A50F31"/>
    <w:rsid w:val="67DE267F"/>
    <w:rsid w:val="67F82723"/>
    <w:rsid w:val="680E597B"/>
    <w:rsid w:val="68232E47"/>
    <w:rsid w:val="683377E6"/>
    <w:rsid w:val="683612F1"/>
    <w:rsid w:val="6864058C"/>
    <w:rsid w:val="686A4BCD"/>
    <w:rsid w:val="687F3536"/>
    <w:rsid w:val="6895706B"/>
    <w:rsid w:val="68A767D8"/>
    <w:rsid w:val="68A81C02"/>
    <w:rsid w:val="68B10C92"/>
    <w:rsid w:val="68BE7F73"/>
    <w:rsid w:val="68C95572"/>
    <w:rsid w:val="68CF2219"/>
    <w:rsid w:val="68E85B1B"/>
    <w:rsid w:val="68EA5087"/>
    <w:rsid w:val="68F45519"/>
    <w:rsid w:val="68F74AC0"/>
    <w:rsid w:val="690226AA"/>
    <w:rsid w:val="69302F4A"/>
    <w:rsid w:val="69340068"/>
    <w:rsid w:val="69490942"/>
    <w:rsid w:val="695063B1"/>
    <w:rsid w:val="696735D2"/>
    <w:rsid w:val="69675151"/>
    <w:rsid w:val="696C3184"/>
    <w:rsid w:val="69964EDD"/>
    <w:rsid w:val="69AA5894"/>
    <w:rsid w:val="69C251E5"/>
    <w:rsid w:val="69C36EA0"/>
    <w:rsid w:val="69C76F55"/>
    <w:rsid w:val="69E27DE5"/>
    <w:rsid w:val="69F854C7"/>
    <w:rsid w:val="69F9712E"/>
    <w:rsid w:val="69FC4D4C"/>
    <w:rsid w:val="6A04063F"/>
    <w:rsid w:val="6A1B1EDA"/>
    <w:rsid w:val="6A1D0E4B"/>
    <w:rsid w:val="6A1E6972"/>
    <w:rsid w:val="6A261E50"/>
    <w:rsid w:val="6A296EBC"/>
    <w:rsid w:val="6A2B4B2D"/>
    <w:rsid w:val="6A2E6CB5"/>
    <w:rsid w:val="6A4631D0"/>
    <w:rsid w:val="6A82698C"/>
    <w:rsid w:val="6A8C08E1"/>
    <w:rsid w:val="6AC82F1E"/>
    <w:rsid w:val="6ADB4B29"/>
    <w:rsid w:val="6AE30C19"/>
    <w:rsid w:val="6AE74B93"/>
    <w:rsid w:val="6B086546"/>
    <w:rsid w:val="6B297A0B"/>
    <w:rsid w:val="6B473BB7"/>
    <w:rsid w:val="6B557751"/>
    <w:rsid w:val="6B83539E"/>
    <w:rsid w:val="6BAF7A81"/>
    <w:rsid w:val="6BDC5BF9"/>
    <w:rsid w:val="6BEA09E9"/>
    <w:rsid w:val="6C137E61"/>
    <w:rsid w:val="6C1B4A1D"/>
    <w:rsid w:val="6C1C025B"/>
    <w:rsid w:val="6C281505"/>
    <w:rsid w:val="6C31386A"/>
    <w:rsid w:val="6C4507E9"/>
    <w:rsid w:val="6C4B24D7"/>
    <w:rsid w:val="6C651D40"/>
    <w:rsid w:val="6C6E2A9F"/>
    <w:rsid w:val="6C89456C"/>
    <w:rsid w:val="6CA30BF3"/>
    <w:rsid w:val="6CAE21B7"/>
    <w:rsid w:val="6CAF36EC"/>
    <w:rsid w:val="6CD51408"/>
    <w:rsid w:val="6D171F77"/>
    <w:rsid w:val="6D3D533A"/>
    <w:rsid w:val="6D3F6221"/>
    <w:rsid w:val="6D425954"/>
    <w:rsid w:val="6D4B24C8"/>
    <w:rsid w:val="6D565F20"/>
    <w:rsid w:val="6DD276D7"/>
    <w:rsid w:val="6DDB6849"/>
    <w:rsid w:val="6DE3480B"/>
    <w:rsid w:val="6DFA5BBC"/>
    <w:rsid w:val="6E4536E9"/>
    <w:rsid w:val="6E5B59B7"/>
    <w:rsid w:val="6E6B15CD"/>
    <w:rsid w:val="6E7E77BD"/>
    <w:rsid w:val="6E927932"/>
    <w:rsid w:val="6E932332"/>
    <w:rsid w:val="6EAE6A83"/>
    <w:rsid w:val="6EF56860"/>
    <w:rsid w:val="6F077DE9"/>
    <w:rsid w:val="6F282B48"/>
    <w:rsid w:val="6F3E3637"/>
    <w:rsid w:val="6F5B73D9"/>
    <w:rsid w:val="6F633A3D"/>
    <w:rsid w:val="6F6662BA"/>
    <w:rsid w:val="6F714A3F"/>
    <w:rsid w:val="6F7523D6"/>
    <w:rsid w:val="6F78711C"/>
    <w:rsid w:val="6F920BE7"/>
    <w:rsid w:val="6FA629D4"/>
    <w:rsid w:val="6FAB1089"/>
    <w:rsid w:val="6FAF3B07"/>
    <w:rsid w:val="6FB25B1C"/>
    <w:rsid w:val="6FD57B6F"/>
    <w:rsid w:val="6FD85765"/>
    <w:rsid w:val="6FDD017F"/>
    <w:rsid w:val="6FE260F7"/>
    <w:rsid w:val="6FE57467"/>
    <w:rsid w:val="6FE87C56"/>
    <w:rsid w:val="6FFC2FBF"/>
    <w:rsid w:val="700E6356"/>
    <w:rsid w:val="701476E1"/>
    <w:rsid w:val="7018068E"/>
    <w:rsid w:val="702B497E"/>
    <w:rsid w:val="702D125C"/>
    <w:rsid w:val="7084647F"/>
    <w:rsid w:val="708529BA"/>
    <w:rsid w:val="70A84973"/>
    <w:rsid w:val="70CF383E"/>
    <w:rsid w:val="70D259DE"/>
    <w:rsid w:val="70DC0257"/>
    <w:rsid w:val="70F06A2E"/>
    <w:rsid w:val="710E1575"/>
    <w:rsid w:val="71174929"/>
    <w:rsid w:val="712646DD"/>
    <w:rsid w:val="715B0950"/>
    <w:rsid w:val="71682303"/>
    <w:rsid w:val="717D2129"/>
    <w:rsid w:val="71806B5B"/>
    <w:rsid w:val="718D5FC9"/>
    <w:rsid w:val="71934405"/>
    <w:rsid w:val="71AF267B"/>
    <w:rsid w:val="71C13404"/>
    <w:rsid w:val="71E1304C"/>
    <w:rsid w:val="71E27DD8"/>
    <w:rsid w:val="71E703B3"/>
    <w:rsid w:val="71F51D2A"/>
    <w:rsid w:val="72091415"/>
    <w:rsid w:val="72256711"/>
    <w:rsid w:val="72265449"/>
    <w:rsid w:val="724E6357"/>
    <w:rsid w:val="729C2E44"/>
    <w:rsid w:val="729C315E"/>
    <w:rsid w:val="72A82643"/>
    <w:rsid w:val="72C53CF3"/>
    <w:rsid w:val="72D448B3"/>
    <w:rsid w:val="72E7707A"/>
    <w:rsid w:val="72F023C0"/>
    <w:rsid w:val="72F913AD"/>
    <w:rsid w:val="73005710"/>
    <w:rsid w:val="7303086D"/>
    <w:rsid w:val="730C498F"/>
    <w:rsid w:val="734401D7"/>
    <w:rsid w:val="73652253"/>
    <w:rsid w:val="73665552"/>
    <w:rsid w:val="73856330"/>
    <w:rsid w:val="739F40D9"/>
    <w:rsid w:val="73A31D91"/>
    <w:rsid w:val="73B01E02"/>
    <w:rsid w:val="73C528F2"/>
    <w:rsid w:val="73E40597"/>
    <w:rsid w:val="73F649E0"/>
    <w:rsid w:val="740E1E80"/>
    <w:rsid w:val="740E58EF"/>
    <w:rsid w:val="74187AEE"/>
    <w:rsid w:val="74371D16"/>
    <w:rsid w:val="746213D5"/>
    <w:rsid w:val="746A02EA"/>
    <w:rsid w:val="746C3509"/>
    <w:rsid w:val="74757722"/>
    <w:rsid w:val="748B5068"/>
    <w:rsid w:val="74D80FAA"/>
    <w:rsid w:val="74E77E11"/>
    <w:rsid w:val="750748C4"/>
    <w:rsid w:val="7527524B"/>
    <w:rsid w:val="75292425"/>
    <w:rsid w:val="753E4306"/>
    <w:rsid w:val="755E2ED6"/>
    <w:rsid w:val="75776D86"/>
    <w:rsid w:val="759C35A3"/>
    <w:rsid w:val="75B73921"/>
    <w:rsid w:val="75D75883"/>
    <w:rsid w:val="75F54DD5"/>
    <w:rsid w:val="760E37B8"/>
    <w:rsid w:val="76294E85"/>
    <w:rsid w:val="762F0C6F"/>
    <w:rsid w:val="764A5A41"/>
    <w:rsid w:val="768175E7"/>
    <w:rsid w:val="76913762"/>
    <w:rsid w:val="76A27265"/>
    <w:rsid w:val="76B05B83"/>
    <w:rsid w:val="76B113C8"/>
    <w:rsid w:val="76C46DB9"/>
    <w:rsid w:val="76CE1BDC"/>
    <w:rsid w:val="76DB50B6"/>
    <w:rsid w:val="76E310C2"/>
    <w:rsid w:val="77103D0A"/>
    <w:rsid w:val="771E6B33"/>
    <w:rsid w:val="77331159"/>
    <w:rsid w:val="775C69E4"/>
    <w:rsid w:val="775F2CBA"/>
    <w:rsid w:val="777A7D96"/>
    <w:rsid w:val="777F35E0"/>
    <w:rsid w:val="77A941B3"/>
    <w:rsid w:val="77B35781"/>
    <w:rsid w:val="77BF122B"/>
    <w:rsid w:val="77C2029A"/>
    <w:rsid w:val="77CA41A9"/>
    <w:rsid w:val="77D91AB6"/>
    <w:rsid w:val="77E01142"/>
    <w:rsid w:val="78175D59"/>
    <w:rsid w:val="783060AA"/>
    <w:rsid w:val="783C2AF5"/>
    <w:rsid w:val="78445CD0"/>
    <w:rsid w:val="785B6E75"/>
    <w:rsid w:val="78816E89"/>
    <w:rsid w:val="78817AA8"/>
    <w:rsid w:val="788A3795"/>
    <w:rsid w:val="788E0B28"/>
    <w:rsid w:val="789003B0"/>
    <w:rsid w:val="78A17B09"/>
    <w:rsid w:val="78BE28CD"/>
    <w:rsid w:val="78BE6C0B"/>
    <w:rsid w:val="78CF5620"/>
    <w:rsid w:val="78DA2EE9"/>
    <w:rsid w:val="78E10A75"/>
    <w:rsid w:val="78FC3674"/>
    <w:rsid w:val="78FD6979"/>
    <w:rsid w:val="791037BD"/>
    <w:rsid w:val="79126BC8"/>
    <w:rsid w:val="79185D31"/>
    <w:rsid w:val="79201552"/>
    <w:rsid w:val="792C2196"/>
    <w:rsid w:val="7930778C"/>
    <w:rsid w:val="798269EA"/>
    <w:rsid w:val="79C7787C"/>
    <w:rsid w:val="79D843F6"/>
    <w:rsid w:val="79F4677A"/>
    <w:rsid w:val="7A2C1411"/>
    <w:rsid w:val="7A305F96"/>
    <w:rsid w:val="7A3337E2"/>
    <w:rsid w:val="7A5052DA"/>
    <w:rsid w:val="7A5C0CAB"/>
    <w:rsid w:val="7A5F7C63"/>
    <w:rsid w:val="7A831A9E"/>
    <w:rsid w:val="7A957627"/>
    <w:rsid w:val="7A990D3D"/>
    <w:rsid w:val="7A9D41AA"/>
    <w:rsid w:val="7AAA10C9"/>
    <w:rsid w:val="7AB307A3"/>
    <w:rsid w:val="7ADB1F16"/>
    <w:rsid w:val="7ADD6CB3"/>
    <w:rsid w:val="7AE0080B"/>
    <w:rsid w:val="7AE512DA"/>
    <w:rsid w:val="7AE7119A"/>
    <w:rsid w:val="7AE71354"/>
    <w:rsid w:val="7AE911B5"/>
    <w:rsid w:val="7AF861F7"/>
    <w:rsid w:val="7B037888"/>
    <w:rsid w:val="7B17474D"/>
    <w:rsid w:val="7B1A1F21"/>
    <w:rsid w:val="7B2E0C69"/>
    <w:rsid w:val="7B3F4120"/>
    <w:rsid w:val="7B416ED9"/>
    <w:rsid w:val="7B4C0337"/>
    <w:rsid w:val="7B8C154E"/>
    <w:rsid w:val="7B94390C"/>
    <w:rsid w:val="7BA713E1"/>
    <w:rsid w:val="7BAB1ADD"/>
    <w:rsid w:val="7BAF6B5B"/>
    <w:rsid w:val="7BB44560"/>
    <w:rsid w:val="7BB46B79"/>
    <w:rsid w:val="7BD30A5E"/>
    <w:rsid w:val="7BD43C08"/>
    <w:rsid w:val="7BFC34BA"/>
    <w:rsid w:val="7C08356F"/>
    <w:rsid w:val="7C0E5AF3"/>
    <w:rsid w:val="7C173219"/>
    <w:rsid w:val="7C176F6F"/>
    <w:rsid w:val="7C26369C"/>
    <w:rsid w:val="7C87477A"/>
    <w:rsid w:val="7C891C7D"/>
    <w:rsid w:val="7C917B55"/>
    <w:rsid w:val="7CB67DA8"/>
    <w:rsid w:val="7CBB1DC0"/>
    <w:rsid w:val="7CEA2444"/>
    <w:rsid w:val="7CF33F38"/>
    <w:rsid w:val="7D085A57"/>
    <w:rsid w:val="7D21350C"/>
    <w:rsid w:val="7D3E241B"/>
    <w:rsid w:val="7D4C3FD3"/>
    <w:rsid w:val="7D62117D"/>
    <w:rsid w:val="7D996344"/>
    <w:rsid w:val="7DAC40E8"/>
    <w:rsid w:val="7DB6390A"/>
    <w:rsid w:val="7DB97BF7"/>
    <w:rsid w:val="7DD11947"/>
    <w:rsid w:val="7DF358C2"/>
    <w:rsid w:val="7E096184"/>
    <w:rsid w:val="7E2710CF"/>
    <w:rsid w:val="7E276A1A"/>
    <w:rsid w:val="7E277B9D"/>
    <w:rsid w:val="7E3736B2"/>
    <w:rsid w:val="7E3E159D"/>
    <w:rsid w:val="7E3E1EF2"/>
    <w:rsid w:val="7E3E476B"/>
    <w:rsid w:val="7E435375"/>
    <w:rsid w:val="7E453993"/>
    <w:rsid w:val="7E460075"/>
    <w:rsid w:val="7E582115"/>
    <w:rsid w:val="7E8F4920"/>
    <w:rsid w:val="7EA31C1D"/>
    <w:rsid w:val="7EA959C8"/>
    <w:rsid w:val="7EAA26CD"/>
    <w:rsid w:val="7EAD0A09"/>
    <w:rsid w:val="7EB373FF"/>
    <w:rsid w:val="7EC171D6"/>
    <w:rsid w:val="7ECC2EED"/>
    <w:rsid w:val="7ECF312F"/>
    <w:rsid w:val="7EE14D3C"/>
    <w:rsid w:val="7EF340D9"/>
    <w:rsid w:val="7EF74FC9"/>
    <w:rsid w:val="7EF87D56"/>
    <w:rsid w:val="7F477646"/>
    <w:rsid w:val="7F8C2495"/>
    <w:rsid w:val="7F9742C2"/>
    <w:rsid w:val="7FA26FD7"/>
    <w:rsid w:val="7FB82667"/>
    <w:rsid w:val="7FC479DD"/>
    <w:rsid w:val="7FE801B0"/>
    <w:rsid w:val="7FF17A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BEF554E-99B3-4F46-A6EC-84A251AAE0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Lines="50" w:before="50" w:afterLines="50" w:after="50" w:line="240" w:lineRule="auto"/>
      <w:jc w:val="both"/>
    </w:pPr>
    <w:rPr>
      <w:rFonts w:eastAsia="SimSun"/>
      <w:kern w:val="2"/>
    </w:rPr>
  </w:style>
  <w:style w:type="paragraph" w:styleId="Heading1">
    <w:name w:val="heading 1"/>
    <w:basedOn w:val="Normal"/>
    <w:next w:val="Normal"/>
    <w:qFormat/>
    <w:pPr>
      <w:keepNext/>
      <w:keepLines/>
      <w:numPr>
        <w:numId w:val="1"/>
      </w:numPr>
      <w:pBdr>
        <w:top w:val="single" w:sz="12" w:space="3" w:color="auto"/>
      </w:pBdr>
      <w:outlineLvl w:val="0"/>
    </w:pPr>
    <w:rPr>
      <w:rFonts w:ascii="Arial" w:eastAsia="MS Mincho" w:hAnsi="Arial"/>
      <w:sz w:val="32"/>
    </w:rPr>
  </w:style>
  <w:style w:type="paragraph" w:styleId="Heading2">
    <w:name w:val="heading 2"/>
    <w:basedOn w:val="Heading1"/>
    <w:next w:val="Normal"/>
    <w:qFormat/>
    <w:pPr>
      <w:numPr>
        <w:ilvl w:val="1"/>
      </w:numPr>
      <w:pBdr>
        <w:top w:val="none" w:sz="0" w:space="0" w:color="auto"/>
      </w:pBdr>
      <w:spacing w:before="180"/>
      <w:ind w:rightChars="100" w:right="100"/>
      <w:outlineLvl w:val="1"/>
    </w:pPr>
    <w:rPr>
      <w:sz w:val="28"/>
    </w:rPr>
  </w:style>
  <w:style w:type="paragraph" w:styleId="Heading3">
    <w:name w:val="heading 3"/>
    <w:basedOn w:val="Heading2"/>
    <w:next w:val="Normal"/>
    <w:qFormat/>
    <w:pPr>
      <w:numPr>
        <w:ilvl w:val="2"/>
      </w:numPr>
      <w:spacing w:before="120"/>
      <w:ind w:left="0"/>
      <w:outlineLvl w:val="2"/>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semiHidden/>
    <w:unhideWhenUsed/>
    <w:qFormat/>
    <w:rPr>
      <w:b/>
      <w:bCs/>
    </w:rPr>
  </w:style>
  <w:style w:type="paragraph" w:styleId="CommentText">
    <w:name w:val="annotation text"/>
    <w:basedOn w:val="Normal"/>
    <w:link w:val="CommentTextChar"/>
    <w:semiHidden/>
    <w:qFormat/>
  </w:style>
  <w:style w:type="paragraph" w:styleId="Caption">
    <w:name w:val="caption"/>
    <w:basedOn w:val="Normal"/>
    <w:next w:val="Normal"/>
    <w:qFormat/>
    <w:pPr>
      <w:overflowPunct w:val="0"/>
      <w:autoSpaceDE w:val="0"/>
      <w:autoSpaceDN w:val="0"/>
      <w:adjustRightInd w:val="0"/>
      <w:spacing w:before="120" w:after="120"/>
      <w:textAlignment w:val="baseline"/>
    </w:pPr>
    <w:rPr>
      <w:b/>
    </w:rPr>
  </w:style>
  <w:style w:type="paragraph" w:styleId="BalloonText">
    <w:name w:val="Balloon Text"/>
    <w:basedOn w:val="Normal"/>
    <w:link w:val="BalloonTextChar"/>
    <w:uiPriority w:val="99"/>
    <w:semiHidden/>
    <w:unhideWhenUsed/>
    <w:qFormat/>
    <w:pPr>
      <w:spacing w:before="0" w:after="0"/>
    </w:pPr>
    <w:rPr>
      <w:rFonts w:ascii="Segoe UI" w:hAnsi="Segoe UI" w:cs="Segoe UI"/>
      <w:sz w:val="18"/>
      <w:szCs w:val="18"/>
    </w:rPr>
  </w:style>
  <w:style w:type="paragraph" w:styleId="Footer">
    <w:name w:val="footer"/>
    <w:basedOn w:val="Normal"/>
    <w:link w:val="FooterChar"/>
    <w:uiPriority w:val="99"/>
    <w:unhideWhenUsed/>
    <w:qFormat/>
    <w:pPr>
      <w:tabs>
        <w:tab w:val="center" w:pos="4153"/>
        <w:tab w:val="right" w:pos="8306"/>
      </w:tabs>
      <w:snapToGrid w:val="0"/>
      <w:jc w:val="left"/>
    </w:pPr>
    <w:rPr>
      <w:sz w:val="18"/>
      <w:szCs w:val="18"/>
    </w:rPr>
  </w:style>
  <w:style w:type="paragraph" w:styleId="Header">
    <w:name w:val="header"/>
    <w:basedOn w:val="Normal"/>
    <w:link w:val="HeaderChar"/>
    <w:semiHidden/>
    <w:qFormat/>
    <w:pPr>
      <w:tabs>
        <w:tab w:val="center" w:pos="4680"/>
        <w:tab w:val="right" w:pos="9360"/>
      </w:tabs>
      <w:spacing w:before="0" w:after="0"/>
    </w:pPr>
  </w:style>
  <w:style w:type="paragraph" w:styleId="TOC1">
    <w:name w:val="toc 1"/>
    <w:basedOn w:val="Normal"/>
    <w:next w:val="Normal"/>
    <w:uiPriority w:val="39"/>
    <w:unhideWhenUsed/>
    <w:qFormat/>
    <w:rPr>
      <w:rFonts w:eastAsiaTheme="minorEastAsia"/>
      <w:b/>
      <w:i/>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table" w:styleId="TableGrid">
    <w:name w:val="Table Grid"/>
    <w:basedOn w:val="TableNormal"/>
    <w:qFormat/>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YJ-Proposal">
    <w:name w:val="YJ-Proposal"/>
    <w:basedOn w:val="Normal"/>
    <w:qFormat/>
    <w:pPr>
      <w:numPr>
        <w:numId w:val="2"/>
      </w:numPr>
    </w:pPr>
    <w:rPr>
      <w:rFonts w:eastAsiaTheme="minorEastAsia"/>
      <w:b/>
      <w:bCs/>
      <w:i/>
      <w:iCs/>
      <w:lang w:val="en-GB" w:eastAsia="en-US"/>
    </w:rPr>
  </w:style>
  <w:style w:type="paragraph" w:customStyle="1" w:styleId="YJ-Observation">
    <w:name w:val="YJ-Observation"/>
    <w:basedOn w:val="YJ-Proposal"/>
    <w:qFormat/>
    <w:pPr>
      <w:numPr>
        <w:numId w:val="3"/>
      </w:numPr>
      <w:tabs>
        <w:tab w:val="left" w:pos="420"/>
      </w:tabs>
    </w:pPr>
  </w:style>
  <w:style w:type="paragraph" w:customStyle="1" w:styleId="References">
    <w:name w:val="References"/>
    <w:basedOn w:val="Normal"/>
    <w:qFormat/>
    <w:pPr>
      <w:numPr>
        <w:numId w:val="4"/>
      </w:numPr>
      <w:spacing w:after="60"/>
    </w:pPr>
    <w:rPr>
      <w:szCs w:val="16"/>
    </w:rPr>
  </w:style>
  <w:style w:type="paragraph" w:styleId="ListParagraph">
    <w:name w:val="List Paragraph"/>
    <w:basedOn w:val="Normal"/>
    <w:uiPriority w:val="34"/>
    <w:qFormat/>
    <w:pPr>
      <w:spacing w:beforeLines="0" w:after="0"/>
      <w:ind w:left="720"/>
      <w:contextualSpacing/>
    </w:pPr>
    <w:rPr>
      <w:rFonts w:eastAsia="Times New Roman"/>
      <w:sz w:val="24"/>
      <w:szCs w:val="24"/>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eastAsia="MS Mincho" w:hAnsi="Arial"/>
      <w:sz w:val="18"/>
    </w:rPr>
  </w:style>
  <w:style w:type="paragraph" w:customStyle="1" w:styleId="TAN">
    <w:name w:val="TAN"/>
    <w:basedOn w:val="TAL"/>
    <w:qFormat/>
    <w:pPr>
      <w:ind w:left="851" w:hanging="851"/>
    </w:pPr>
  </w:style>
  <w:style w:type="paragraph" w:customStyle="1" w:styleId="Style1">
    <w:name w:val="Style1"/>
    <w:basedOn w:val="Normal"/>
    <w:qFormat/>
    <w:pPr>
      <w:spacing w:after="100" w:afterAutospacing="1" w:line="300" w:lineRule="auto"/>
      <w:ind w:firstLine="360"/>
      <w:contextualSpacing/>
    </w:pPr>
  </w:style>
  <w:style w:type="paragraph" w:customStyle="1" w:styleId="LGTdoc">
    <w:name w:val="LGTdoc_본문"/>
    <w:basedOn w:val="Normal"/>
    <w:qFormat/>
    <w:pPr>
      <w:widowControl w:val="0"/>
      <w:autoSpaceDE w:val="0"/>
      <w:autoSpaceDN w:val="0"/>
      <w:adjustRightInd w:val="0"/>
      <w:snapToGrid w:val="0"/>
      <w:spacing w:line="264" w:lineRule="auto"/>
    </w:pPr>
    <w:rPr>
      <w:sz w:val="22"/>
      <w:lang w:eastAsia="ko-KR"/>
    </w:rPr>
  </w:style>
  <w:style w:type="character" w:customStyle="1" w:styleId="BalloonTextChar">
    <w:name w:val="Balloon Text Char"/>
    <w:basedOn w:val="DefaultParagraphFont"/>
    <w:link w:val="BalloonText"/>
    <w:uiPriority w:val="99"/>
    <w:semiHidden/>
    <w:qFormat/>
    <w:rPr>
      <w:rFonts w:ascii="Segoe UI" w:eastAsia="SimSun" w:hAnsi="Segoe UI" w:cs="Segoe UI"/>
      <w:kern w:val="2"/>
      <w:sz w:val="18"/>
      <w:szCs w:val="18"/>
    </w:rPr>
  </w:style>
  <w:style w:type="character" w:customStyle="1" w:styleId="HeaderChar">
    <w:name w:val="Header Char"/>
    <w:basedOn w:val="DefaultParagraphFont"/>
    <w:link w:val="Header"/>
    <w:semiHidden/>
    <w:qFormat/>
    <w:rPr>
      <w:rFonts w:eastAsia="SimSun"/>
      <w:kern w:val="2"/>
    </w:rPr>
  </w:style>
  <w:style w:type="character" w:customStyle="1" w:styleId="FooterChar">
    <w:name w:val="Footer Char"/>
    <w:basedOn w:val="DefaultParagraphFont"/>
    <w:link w:val="Footer"/>
    <w:uiPriority w:val="99"/>
    <w:qFormat/>
    <w:rPr>
      <w:rFonts w:eastAsia="SimSun"/>
      <w:kern w:val="2"/>
      <w:sz w:val="18"/>
      <w:szCs w:val="18"/>
    </w:rPr>
  </w:style>
  <w:style w:type="character" w:customStyle="1" w:styleId="CommentTextChar">
    <w:name w:val="Comment Text Char"/>
    <w:basedOn w:val="DefaultParagraphFont"/>
    <w:link w:val="CommentText"/>
    <w:semiHidden/>
    <w:qFormat/>
    <w:rPr>
      <w:rFonts w:eastAsia="SimSun"/>
      <w:kern w:val="2"/>
    </w:rPr>
  </w:style>
  <w:style w:type="character" w:customStyle="1" w:styleId="CommentSubjectChar">
    <w:name w:val="Comment Subject Char"/>
    <w:basedOn w:val="CommentTextChar"/>
    <w:link w:val="CommentSubject"/>
    <w:uiPriority w:val="99"/>
    <w:semiHidden/>
    <w:qFormat/>
    <w:rPr>
      <w:rFonts w:eastAsia="SimSun"/>
      <w:b/>
      <w:bCs/>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8.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footer" Target="footer3.xml"/><Relationship Id="rId10" Type="http://schemas.openxmlformats.org/officeDocument/2006/relationships/image" Target="media/image2.emf"/><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header" Target="head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4F1048E-B500-46C2-8B65-E38E76AC8B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12</Pages>
  <Words>4645</Words>
  <Characters>26479</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31062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Windows User</cp:lastModifiedBy>
  <cp:revision>19</cp:revision>
  <dcterms:created xsi:type="dcterms:W3CDTF">2019-04-08T03:09:00Z</dcterms:created>
  <dcterms:modified xsi:type="dcterms:W3CDTF">2019-05-03T10:06:00Z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